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40" w:type="dxa"/>
        <w:tblInd w:w="-60" w:type="dxa"/>
        <w:tblLayout w:type="fixed"/>
        <w:tblCellMar>
          <w:left w:w="30" w:type="dxa"/>
          <w:right w:w="30" w:type="dxa"/>
        </w:tblCellMar>
        <w:tblLook w:val="0000"/>
      </w:tblPr>
      <w:tblGrid>
        <w:gridCol w:w="2695"/>
        <w:gridCol w:w="6745"/>
      </w:tblGrid>
      <w:tr w:rsidR="00BA1563" w:rsidTr="006D71C9">
        <w:trPr>
          <w:trHeight w:val="247"/>
        </w:trPr>
        <w:tc>
          <w:tcPr>
            <w:tcW w:w="9440" w:type="dxa"/>
            <w:gridSpan w:val="2"/>
            <w:tcBorders>
              <w:top w:val="nil"/>
              <w:left w:val="nil"/>
              <w:bottom w:val="nil"/>
              <w:right w:val="nil"/>
            </w:tcBorders>
          </w:tcPr>
          <w:p w:rsidR="00EE6E6F" w:rsidRPr="006D71C9" w:rsidRDefault="00954CB3" w:rsidP="006D71C9">
            <w:pPr>
              <w:jc w:val="center"/>
              <w:rPr>
                <w:b/>
                <w:sz w:val="40"/>
              </w:rPr>
            </w:pPr>
            <w:r w:rsidRPr="006D71C9">
              <w:rPr>
                <w:b/>
                <w:noProof/>
                <w:sz w:val="40"/>
              </w:rPr>
              <w:pict>
                <v:line id="_x0000_s1026" style="position:absolute;left:0;text-align:left;z-index:251657216;mso-position-horizontal-relative:margin" from="-3.45pt,-3pt" to="475.5pt,-3pt" strokeweight="2pt">
                  <v:stroke startarrowwidth="narrow" startarrowlength="short" endarrowwidth="narrow" endarrowlength="short"/>
                  <w10:wrap anchorx="margin"/>
                </v:line>
              </w:pict>
            </w:r>
            <w:r w:rsidR="00EE6E6F" w:rsidRPr="006D71C9">
              <w:rPr>
                <w:b/>
                <w:sz w:val="40"/>
              </w:rPr>
              <w:t>Glossary of Terms</w:t>
            </w:r>
          </w:p>
          <w:p w:rsidR="00EE6E6F" w:rsidRPr="006D71C9" w:rsidRDefault="00954CB3" w:rsidP="00A571EB">
            <w:r>
              <w:rPr>
                <w:noProof/>
              </w:rPr>
              <w:pict>
                <v:line id="_x0000_s1027" style="position:absolute;z-index:251658240;mso-position-horizontal-relative:margin" from="-3.45pt,4.8pt" to="475.5pt,4.8pt" strokeweight="2pt">
                  <v:stroke startarrowwidth="narrow" startarrowlength="short" endarrowwidth="narrow" endarrowlength="short"/>
                  <w10:wrap anchorx="margin"/>
                </v:line>
              </w:pict>
            </w:r>
          </w:p>
          <w:p w:rsidR="00BA1563" w:rsidRPr="00A571EB" w:rsidRDefault="00BA1563" w:rsidP="006D71C9">
            <w:pPr>
              <w:spacing w:before="240"/>
              <w:rPr>
                <w:b/>
                <w:color w:val="000000"/>
              </w:rPr>
            </w:pPr>
            <w:r w:rsidRPr="00A571EB">
              <w:rPr>
                <w:b/>
                <w:color w:val="000000"/>
              </w:rPr>
              <w:t>MALS = M</w:t>
            </w:r>
            <w:r w:rsidRPr="00A571EB">
              <w:rPr>
                <w:color w:val="000000"/>
              </w:rPr>
              <w:t>ulti</w:t>
            </w:r>
            <w:r w:rsidRPr="00A571EB">
              <w:rPr>
                <w:b/>
                <w:color w:val="000000"/>
              </w:rPr>
              <w:t xml:space="preserve"> A</w:t>
            </w:r>
            <w:r w:rsidRPr="00A571EB">
              <w:rPr>
                <w:color w:val="000000"/>
              </w:rPr>
              <w:t>ngle</w:t>
            </w:r>
            <w:r w:rsidRPr="00A571EB">
              <w:rPr>
                <w:b/>
                <w:color w:val="000000"/>
              </w:rPr>
              <w:t xml:space="preserve"> L</w:t>
            </w:r>
            <w:r w:rsidRPr="00A571EB">
              <w:rPr>
                <w:color w:val="000000"/>
              </w:rPr>
              <w:t>ight</w:t>
            </w:r>
            <w:r w:rsidRPr="00A571EB">
              <w:rPr>
                <w:b/>
                <w:color w:val="000000"/>
              </w:rPr>
              <w:t xml:space="preserve"> S</w:t>
            </w:r>
            <w:r w:rsidRPr="00A571EB">
              <w:rPr>
                <w:color w:val="000000"/>
              </w:rPr>
              <w:t>cattering; terms apply primarily to DAWN instrumentation</w:t>
            </w:r>
          </w:p>
          <w:p w:rsidR="00BA1563" w:rsidRPr="006D71C9" w:rsidRDefault="00BA1563" w:rsidP="006D71C9">
            <w:pPr>
              <w:spacing w:after="240"/>
              <w:rPr>
                <w:b/>
                <w:color w:val="000000"/>
              </w:rPr>
            </w:pPr>
            <w:r w:rsidRPr="00A571EB">
              <w:rPr>
                <w:b/>
                <w:color w:val="000000"/>
              </w:rPr>
              <w:t>DLS = D</w:t>
            </w:r>
            <w:r w:rsidRPr="00A571EB">
              <w:rPr>
                <w:color w:val="000000"/>
              </w:rPr>
              <w:t xml:space="preserve">ynamic </w:t>
            </w:r>
            <w:r w:rsidRPr="00A571EB">
              <w:rPr>
                <w:b/>
                <w:color w:val="000000"/>
              </w:rPr>
              <w:t>L</w:t>
            </w:r>
            <w:r w:rsidRPr="00A571EB">
              <w:rPr>
                <w:color w:val="000000"/>
              </w:rPr>
              <w:t xml:space="preserve">ight </w:t>
            </w:r>
            <w:r w:rsidRPr="00A571EB">
              <w:rPr>
                <w:b/>
                <w:color w:val="000000"/>
              </w:rPr>
              <w:t>S</w:t>
            </w:r>
            <w:r w:rsidRPr="00A571EB">
              <w:rPr>
                <w:color w:val="000000"/>
              </w:rPr>
              <w:t>cattering; terms apply primarily to DynaPro or QELS instrumentation</w:t>
            </w:r>
          </w:p>
        </w:tc>
      </w:tr>
      <w:tr w:rsidR="00BA1563" w:rsidRPr="00A571EB" w:rsidTr="006D71C9">
        <w:trPr>
          <w:trHeight w:val="387"/>
        </w:trPr>
        <w:tc>
          <w:tcPr>
            <w:tcW w:w="2695" w:type="dxa"/>
            <w:tcBorders>
              <w:top w:val="nil"/>
              <w:left w:val="nil"/>
              <w:bottom w:val="nil"/>
              <w:right w:val="nil"/>
            </w:tcBorders>
          </w:tcPr>
          <w:p w:rsidR="00BA1563" w:rsidRPr="00A571EB" w:rsidRDefault="00BA1563" w:rsidP="006D71C9">
            <w:pPr>
              <w:jc w:val="center"/>
              <w:rPr>
                <w:b/>
                <w:bCs/>
                <w:color w:val="000000"/>
              </w:rPr>
            </w:pPr>
            <w:r w:rsidRPr="00A571EB">
              <w:rPr>
                <w:b/>
                <w:bCs/>
                <w:color w:val="000000"/>
              </w:rPr>
              <w:t>Term</w:t>
            </w:r>
          </w:p>
        </w:tc>
        <w:tc>
          <w:tcPr>
            <w:tcW w:w="6745" w:type="dxa"/>
            <w:tcBorders>
              <w:top w:val="nil"/>
              <w:left w:val="nil"/>
              <w:bottom w:val="nil"/>
              <w:right w:val="nil"/>
            </w:tcBorders>
          </w:tcPr>
          <w:p w:rsidR="00BA1563" w:rsidRPr="00A571EB" w:rsidRDefault="00BA1563" w:rsidP="006D71C9">
            <w:pPr>
              <w:jc w:val="center"/>
              <w:rPr>
                <w:b/>
                <w:bCs/>
                <w:color w:val="000000"/>
              </w:rPr>
            </w:pPr>
            <w:r w:rsidRPr="00A571EB">
              <w:rPr>
                <w:b/>
                <w:bCs/>
                <w:color w:val="000000"/>
              </w:rPr>
              <w:t>Definition</w:t>
            </w: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2nd Virial Coefficient (A</w:t>
            </w:r>
            <w:r w:rsidRPr="006D71C9">
              <w:rPr>
                <w:color w:val="000000"/>
                <w:sz w:val="22"/>
                <w:vertAlign w:val="subscript"/>
              </w:rPr>
              <w:t>2</w:t>
            </w:r>
            <w:r w:rsidRPr="006D71C9">
              <w:rPr>
                <w:color w:val="000000"/>
                <w:sz w:val="22"/>
              </w:rPr>
              <w:t>)</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A measure of solvent-solute interaction.  Positive for a “good” solvent, negative for a “bad” solvent, zero for a “theta” solvent.  Useful in protein crystallography and polymer chemistry.</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Avogadro's Number (N</w:t>
            </w:r>
            <w:r w:rsidRPr="006D71C9">
              <w:rPr>
                <w:color w:val="000000"/>
                <w:sz w:val="22"/>
                <w:vertAlign w:val="subscript"/>
              </w:rPr>
              <w:t>A</w:t>
            </w:r>
            <w:r w:rsidRPr="006D71C9">
              <w:rPr>
                <w:color w:val="000000"/>
                <w:sz w:val="22"/>
              </w:rPr>
              <w:t>)</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Appears in the k* term of the light scattering equation.  6.022x10</w:t>
            </w:r>
            <w:r w:rsidRPr="006D71C9">
              <w:rPr>
                <w:color w:val="000000"/>
                <w:sz w:val="22"/>
                <w:vertAlign w:val="superscript"/>
              </w:rPr>
              <w:t>23</w:t>
            </w:r>
            <w:r w:rsidRPr="006D71C9">
              <w:rPr>
                <w:color w:val="000000"/>
                <w:sz w:val="22"/>
              </w:rPr>
              <w:t xml:space="preserve">; The number of carbon atoms in 12 grams of unbound carbon-12 at its rest-energy electronic state.  </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 xml:space="preserve">Band Broadening </w:t>
            </w:r>
          </w:p>
          <w:p w:rsidR="00BA1563" w:rsidRPr="006D71C9" w:rsidRDefault="00BA1563" w:rsidP="00A571EB">
            <w:pPr>
              <w:rPr>
                <w:color w:val="000000"/>
                <w:sz w:val="22"/>
              </w:rPr>
            </w:pPr>
            <w:r w:rsidRPr="006D71C9">
              <w:rPr>
                <w:color w:val="000000"/>
                <w:sz w:val="22"/>
              </w:rPr>
              <w:t>(inter-detector)</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The change in peak width between detectors caused by dilution of the sample as it moves downstream.  Mathematically correctable when using Wyatt’s ASTRA V software!</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Baseline</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 xml:space="preserve">MALS – Light scattering intensity from solvent and the electrical detector offset. </w:t>
            </w:r>
          </w:p>
          <w:p w:rsidR="00BA1563" w:rsidRPr="006D71C9" w:rsidRDefault="00BA1563" w:rsidP="00A571EB">
            <w:pPr>
              <w:rPr>
                <w:color w:val="000000"/>
                <w:sz w:val="22"/>
              </w:rPr>
            </w:pPr>
            <w:r w:rsidRPr="006D71C9">
              <w:rPr>
                <w:color w:val="000000"/>
                <w:sz w:val="22"/>
              </w:rPr>
              <w:t>DLS - The measured value of the last coefficient in the correlation curve.</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Beer’s Law</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Absorbance = ε</w:t>
            </w:r>
            <w:r w:rsidR="00235976" w:rsidRPr="006D71C9">
              <w:rPr>
                <w:color w:val="000000"/>
                <w:sz w:val="22"/>
              </w:rPr>
              <w:t xml:space="preserve"> L c</w:t>
            </w:r>
            <w:r w:rsidRPr="006D71C9">
              <w:rPr>
                <w:color w:val="000000"/>
                <w:sz w:val="22"/>
              </w:rPr>
              <w:t xml:space="preserve">, where ε is the molar </w:t>
            </w:r>
            <w:proofErr w:type="spellStart"/>
            <w:r w:rsidRPr="006D71C9">
              <w:rPr>
                <w:color w:val="000000"/>
                <w:sz w:val="22"/>
              </w:rPr>
              <w:t>absorptivity</w:t>
            </w:r>
            <w:proofErr w:type="spellEnd"/>
            <w:r w:rsidRPr="006D71C9">
              <w:rPr>
                <w:color w:val="000000"/>
                <w:sz w:val="22"/>
              </w:rPr>
              <w:t xml:space="preserve">, </w:t>
            </w:r>
            <w:r w:rsidR="00235976" w:rsidRPr="006D71C9">
              <w:rPr>
                <w:color w:val="000000"/>
                <w:sz w:val="22"/>
              </w:rPr>
              <w:t>L</w:t>
            </w:r>
            <w:r w:rsidRPr="006D71C9">
              <w:rPr>
                <w:color w:val="000000"/>
                <w:sz w:val="22"/>
              </w:rPr>
              <w:t xml:space="preserve"> is the cell path length, and </w:t>
            </w:r>
            <w:r w:rsidR="00235976" w:rsidRPr="006D71C9">
              <w:rPr>
                <w:color w:val="000000"/>
                <w:sz w:val="22"/>
              </w:rPr>
              <w:t>c</w:t>
            </w:r>
            <w:r w:rsidRPr="006D71C9">
              <w:rPr>
                <w:color w:val="000000"/>
                <w:sz w:val="22"/>
              </w:rPr>
              <w:t xml:space="preserve"> is the concentration.  Used for calculating in-line absolute sample concentration when using a UV detector with a MALS instrument.</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Berry Formalism</w:t>
            </w:r>
          </w:p>
        </w:tc>
        <w:tc>
          <w:tcPr>
            <w:tcW w:w="6745" w:type="dxa"/>
            <w:tcBorders>
              <w:top w:val="nil"/>
              <w:left w:val="nil"/>
              <w:bottom w:val="nil"/>
              <w:right w:val="nil"/>
            </w:tcBorders>
          </w:tcPr>
          <w:p w:rsidR="00BA1563" w:rsidRPr="006D71C9" w:rsidRDefault="00783C32" w:rsidP="00A571EB">
            <w:pPr>
              <w:rPr>
                <w:sz w:val="22"/>
              </w:rPr>
            </w:pPr>
            <w:r w:rsidRPr="006D71C9">
              <w:rPr>
                <w:sz w:val="22"/>
              </w:rPr>
              <w:t>Especially useful for very large sizes, such as samples with RMS radii &gt; 100 nm.  Generally more linear than Zimm in this range, therefore a lower polynomial fit can be used.</w:t>
            </w:r>
          </w:p>
          <w:p w:rsidR="00783C32" w:rsidRPr="006D71C9" w:rsidRDefault="00783C32" w:rsidP="00A571EB">
            <w:pPr>
              <w:rPr>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 xml:space="preserve">Bovine Serum Albumin </w:t>
            </w:r>
            <w:r w:rsidR="0015199F">
              <w:rPr>
                <w:color w:val="000000"/>
                <w:sz w:val="22"/>
              </w:rPr>
              <w:br/>
            </w:r>
            <w:r w:rsidRPr="006D71C9">
              <w:rPr>
                <w:color w:val="000000"/>
                <w:sz w:val="22"/>
              </w:rPr>
              <w:t>(BSA)</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Monomer: R</w:t>
            </w:r>
            <w:r w:rsidRPr="006D71C9">
              <w:rPr>
                <w:color w:val="000000"/>
                <w:sz w:val="22"/>
                <w:vertAlign w:val="subscript"/>
              </w:rPr>
              <w:t xml:space="preserve">h </w:t>
            </w:r>
            <w:r w:rsidRPr="006D71C9">
              <w:rPr>
                <w:color w:val="000000"/>
                <w:sz w:val="22"/>
              </w:rPr>
              <w:t>~ 3.4</w:t>
            </w:r>
            <w:r w:rsidR="00235976" w:rsidRPr="006D71C9">
              <w:rPr>
                <w:color w:val="000000"/>
                <w:sz w:val="22"/>
              </w:rPr>
              <w:t xml:space="preserve"> </w:t>
            </w:r>
            <w:r w:rsidRPr="006D71C9">
              <w:rPr>
                <w:color w:val="000000"/>
                <w:sz w:val="22"/>
              </w:rPr>
              <w:t>nm</w:t>
            </w:r>
            <w:proofErr w:type="gramStart"/>
            <w:r w:rsidR="00235976" w:rsidRPr="006D71C9">
              <w:rPr>
                <w:color w:val="000000"/>
                <w:sz w:val="22"/>
              </w:rPr>
              <w:t>,</w:t>
            </w:r>
            <w:r w:rsidRPr="006D71C9">
              <w:rPr>
                <w:color w:val="000000"/>
                <w:sz w:val="22"/>
              </w:rPr>
              <w:t xml:space="preserve">  Mw</w:t>
            </w:r>
            <w:proofErr w:type="gramEnd"/>
            <w:r w:rsidRPr="006D71C9">
              <w:rPr>
                <w:color w:val="000000"/>
                <w:sz w:val="22"/>
              </w:rPr>
              <w:t xml:space="preserve"> ~ 67kD</w:t>
            </w:r>
            <w:r w:rsidR="00235976" w:rsidRPr="006D71C9">
              <w:rPr>
                <w:color w:val="000000"/>
                <w:sz w:val="22"/>
              </w:rPr>
              <w:t>,</w:t>
            </w:r>
            <w:r w:rsidRPr="006D71C9">
              <w:rPr>
                <w:color w:val="000000"/>
                <w:sz w:val="22"/>
              </w:rPr>
              <w:t xml:space="preserve"> dn/dc is 0.185 in PBS at 690nm.</w:t>
            </w:r>
          </w:p>
          <w:p w:rsidR="00BA1563" w:rsidRPr="006D71C9" w:rsidRDefault="00BA1563" w:rsidP="00A571EB">
            <w:pPr>
              <w:rPr>
                <w:color w:val="000000"/>
                <w:sz w:val="22"/>
              </w:rPr>
            </w:pPr>
            <w:r w:rsidRPr="006D71C9">
              <w:rPr>
                <w:color w:val="000000"/>
                <w:sz w:val="22"/>
              </w:rPr>
              <w:t xml:space="preserve">A good isotropic scatterer and protein standard, often used for MALS normalization and inter-detector alignment with aqueous HPLC.  </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Brownian Motion</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 xml:space="preserve">The random motion in any liquid or gas due to thermal motion of the particles.  </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Calibration</w:t>
            </w:r>
          </w:p>
        </w:tc>
        <w:tc>
          <w:tcPr>
            <w:tcW w:w="6745" w:type="dxa"/>
            <w:tcBorders>
              <w:top w:val="nil"/>
              <w:left w:val="nil"/>
              <w:bottom w:val="nil"/>
              <w:right w:val="nil"/>
            </w:tcBorders>
          </w:tcPr>
          <w:p w:rsidR="00783C32" w:rsidRPr="006D71C9" w:rsidRDefault="00BA1563" w:rsidP="00A571EB">
            <w:pPr>
              <w:rPr>
                <w:color w:val="000000"/>
                <w:sz w:val="22"/>
              </w:rPr>
            </w:pPr>
            <w:r w:rsidRPr="006D71C9">
              <w:rPr>
                <w:color w:val="000000"/>
                <w:sz w:val="22"/>
              </w:rPr>
              <w:t>MALS - Converting detector voltage at 90° to the measured intensity of scattered light.  Toluene is recommended for calibration regardless of the solvent used for sample analysis.</w:t>
            </w:r>
          </w:p>
          <w:p w:rsidR="00A571EB" w:rsidRPr="006D71C9" w:rsidRDefault="00A571EB"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Conformation</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The conformation, or shape, of molecules can be ascertained using MALS data by calculating the slope of   log Rz / log Mw</w:t>
            </w:r>
          </w:p>
          <w:p w:rsidR="00BA1563" w:rsidRPr="006D71C9" w:rsidRDefault="00BA1563" w:rsidP="00A571EB">
            <w:pPr>
              <w:rPr>
                <w:color w:val="000000"/>
                <w:sz w:val="22"/>
              </w:rPr>
            </w:pPr>
            <w:r w:rsidRPr="006D71C9">
              <w:rPr>
                <w:color w:val="000000"/>
                <w:sz w:val="22"/>
              </w:rPr>
              <w:t xml:space="preserve">m=1 indicates rod shape; m=0.5-0.6 indicates random coil; </w:t>
            </w:r>
          </w:p>
          <w:p w:rsidR="00BA1563" w:rsidRPr="006D71C9" w:rsidRDefault="00BA1563" w:rsidP="00A571EB">
            <w:pPr>
              <w:rPr>
                <w:color w:val="000000"/>
                <w:sz w:val="22"/>
              </w:rPr>
            </w:pPr>
            <w:r w:rsidRPr="006D71C9">
              <w:rPr>
                <w:color w:val="000000"/>
                <w:sz w:val="22"/>
              </w:rPr>
              <w:t xml:space="preserve">m=1/3 indicates sphere.  </w:t>
            </w:r>
          </w:p>
          <w:p w:rsidR="00BA1563" w:rsidRPr="006D71C9" w:rsidRDefault="00BA1563" w:rsidP="00A571EB">
            <w:pPr>
              <w:rPr>
                <w:color w:val="000000"/>
                <w:sz w:val="22"/>
              </w:rPr>
            </w:pPr>
            <w:r w:rsidRPr="006D71C9">
              <w:rPr>
                <w:color w:val="000000"/>
                <w:sz w:val="22"/>
              </w:rPr>
              <w:t>Other empirical techniques are available as well, involving DLS data.</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lastRenderedPageBreak/>
              <w:t>DAWN in Sixty Seconds (DISS)</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A chromatography system using only a guard column in order to run a sample in 1-2 minutes and requiring only 10-20% the sample amount needed for traditional SEC.  Bulk average Mw and radius are obtainable (not polydispersity).</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Debye Formalism</w:t>
            </w:r>
          </w:p>
        </w:tc>
        <w:tc>
          <w:tcPr>
            <w:tcW w:w="6745" w:type="dxa"/>
            <w:tcBorders>
              <w:top w:val="nil"/>
              <w:left w:val="nil"/>
              <w:bottom w:val="nil"/>
              <w:right w:val="nil"/>
            </w:tcBorders>
          </w:tcPr>
          <w:p w:rsidR="00BA1563" w:rsidRPr="006D71C9" w:rsidRDefault="00F702DC" w:rsidP="00A571EB">
            <w:pPr>
              <w:rPr>
                <w:color w:val="000000"/>
                <w:sz w:val="22"/>
              </w:rPr>
            </w:pPr>
            <w:proofErr w:type="gramStart"/>
            <w:r w:rsidRPr="006D71C9">
              <w:rPr>
                <w:color w:val="000000"/>
                <w:sz w:val="22"/>
              </w:rPr>
              <w:t>R</w:t>
            </w:r>
            <w:r w:rsidR="00783C32" w:rsidRPr="006D71C9">
              <w:rPr>
                <w:color w:val="000000"/>
                <w:sz w:val="22"/>
              </w:rPr>
              <w:t>(</w:t>
            </w:r>
            <w:proofErr w:type="gramEnd"/>
            <w:r w:rsidR="00BA1563" w:rsidRPr="006D71C9">
              <w:rPr>
                <w:color w:val="000000"/>
                <w:sz w:val="22"/>
              </w:rPr>
              <w:t xml:space="preserve">θ)/K*c </w:t>
            </w:r>
            <w:r w:rsidR="00783C32" w:rsidRPr="006D71C9">
              <w:rPr>
                <w:sz w:val="22"/>
              </w:rPr>
              <w:t>Useful over wide range of sizes but generally has more curvature than Zimm or Berry and therefore requires a higher order polynomial fit.</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Debye Plot</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Plot (for a single “slice” of in-line MALS data) of the angular dependence of the light scattering intensity and the fit results to the basic light scattering equation.  Assesses the quality of fit to the light scattering data and produces Mw &amp; Rz.</w:t>
            </w:r>
          </w:p>
          <w:p w:rsidR="00F702DC" w:rsidRPr="006D71C9" w:rsidRDefault="00F702DC"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dn/dc</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 xml:space="preserve">Also known as the specific refractive index increment.  The ratio of the change in refractive index to the change in concentration.  To a first approximation dn/dc is the absolute RI difference between solvent &amp; sample, and may be positive, negative, or zero.  </w:t>
            </w:r>
          </w:p>
          <w:p w:rsidR="00BA1563" w:rsidRPr="006D71C9" w:rsidRDefault="00BA1563" w:rsidP="00A571EB">
            <w:pPr>
              <w:rPr>
                <w:color w:val="000000"/>
                <w:sz w:val="22"/>
              </w:rPr>
            </w:pPr>
            <w:proofErr w:type="gramStart"/>
            <w:r w:rsidRPr="006D71C9">
              <w:rPr>
                <w:color w:val="000000"/>
                <w:sz w:val="22"/>
              </w:rPr>
              <w:t>dn/dc</w:t>
            </w:r>
            <w:proofErr w:type="gramEnd"/>
            <w:r w:rsidRPr="006D71C9">
              <w:rPr>
                <w:color w:val="000000"/>
                <w:sz w:val="22"/>
              </w:rPr>
              <w:t xml:space="preserve"> is wavelength-dependent, although not significantly temperature-dependent nor Mw-dependent above ~3kD.</w:t>
            </w:r>
          </w:p>
          <w:p w:rsidR="00BA1563" w:rsidRPr="006D71C9" w:rsidRDefault="00BA1563" w:rsidP="00A571EB">
            <w:pPr>
              <w:rPr>
                <w:color w:val="000000"/>
                <w:sz w:val="22"/>
              </w:rPr>
            </w:pPr>
          </w:p>
        </w:tc>
      </w:tr>
      <w:tr w:rsidR="00EE6E6F" w:rsidTr="006D71C9">
        <w:trPr>
          <w:trHeight w:val="247"/>
        </w:trPr>
        <w:tc>
          <w:tcPr>
            <w:tcW w:w="2695" w:type="dxa"/>
            <w:tcBorders>
              <w:top w:val="nil"/>
              <w:left w:val="nil"/>
              <w:bottom w:val="nil"/>
              <w:right w:val="nil"/>
            </w:tcBorders>
          </w:tcPr>
          <w:p w:rsidR="00EE6E6F" w:rsidRPr="006D71C9" w:rsidRDefault="00EE6E6F" w:rsidP="00A571EB">
            <w:pPr>
              <w:rPr>
                <w:color w:val="000000"/>
                <w:sz w:val="22"/>
              </w:rPr>
            </w:pPr>
            <w:r w:rsidRPr="006D71C9">
              <w:rPr>
                <w:color w:val="000000"/>
                <w:sz w:val="22"/>
              </w:rPr>
              <w:t>D</w:t>
            </w:r>
            <w:r w:rsidR="00235976" w:rsidRPr="006D71C9">
              <w:rPr>
                <w:color w:val="000000"/>
                <w:sz w:val="22"/>
                <w:vertAlign w:val="subscript"/>
              </w:rPr>
              <w:t>t</w:t>
            </w:r>
          </w:p>
          <w:p w:rsidR="00EE6E6F" w:rsidRPr="006D71C9" w:rsidRDefault="00EE6E6F" w:rsidP="00A571EB">
            <w:pPr>
              <w:rPr>
                <w:color w:val="000000"/>
                <w:sz w:val="22"/>
              </w:rPr>
            </w:pPr>
          </w:p>
        </w:tc>
        <w:tc>
          <w:tcPr>
            <w:tcW w:w="6745" w:type="dxa"/>
            <w:tcBorders>
              <w:top w:val="nil"/>
              <w:left w:val="nil"/>
              <w:bottom w:val="nil"/>
              <w:right w:val="nil"/>
            </w:tcBorders>
          </w:tcPr>
          <w:p w:rsidR="00EE6E6F" w:rsidRPr="006D71C9" w:rsidRDefault="00EE6E6F" w:rsidP="00A571EB">
            <w:pPr>
              <w:rPr>
                <w:color w:val="000000"/>
                <w:sz w:val="22"/>
              </w:rPr>
            </w:pPr>
            <w:r w:rsidRPr="006D71C9">
              <w:rPr>
                <w:color w:val="000000"/>
                <w:sz w:val="22"/>
              </w:rPr>
              <w:t xml:space="preserve">See “Translational </w:t>
            </w:r>
            <w:r w:rsidR="00B33229" w:rsidRPr="006D71C9">
              <w:rPr>
                <w:color w:val="000000"/>
                <w:sz w:val="22"/>
              </w:rPr>
              <w:t xml:space="preserve">Diffusion </w:t>
            </w:r>
            <w:r w:rsidRPr="006D71C9">
              <w:rPr>
                <w:color w:val="000000"/>
                <w:sz w:val="22"/>
              </w:rPr>
              <w:t>Coefficient”</w:t>
            </w: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Electric Field</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The part of a light wave that induces an oscillating dipole in a molecule, resulting in light scattering from the molecule.</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Excess Rayleigh Ratio</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The ratio of scattered to incident light that takes into account the scattering angle, distance, solvent, and volume.  In effect, a measure of the light scattered by the solute alone.</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15199F">
            <w:pPr>
              <w:rPr>
                <w:color w:val="000000"/>
                <w:sz w:val="22"/>
              </w:rPr>
            </w:pPr>
            <w:r w:rsidRPr="006D71C9">
              <w:rPr>
                <w:color w:val="000000"/>
                <w:sz w:val="22"/>
              </w:rPr>
              <w:t xml:space="preserve">Field </w:t>
            </w:r>
            <w:r w:rsidR="0015199F">
              <w:rPr>
                <w:color w:val="000000"/>
                <w:sz w:val="22"/>
              </w:rPr>
              <w:t>F</w:t>
            </w:r>
            <w:r w:rsidRPr="006D71C9">
              <w:rPr>
                <w:color w:val="000000"/>
                <w:sz w:val="22"/>
              </w:rPr>
              <w:t xml:space="preserve">low Fractionation </w:t>
            </w:r>
            <w:r w:rsidR="0015199F">
              <w:rPr>
                <w:color w:val="000000"/>
                <w:sz w:val="22"/>
              </w:rPr>
              <w:br/>
            </w:r>
            <w:r w:rsidRPr="006D71C9">
              <w:rPr>
                <w:color w:val="000000"/>
                <w:sz w:val="22"/>
              </w:rPr>
              <w:t>(FFF)</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A separation system employing a channel with liquid cross-flow to push larger particles to the margin allowing smaller molecules to elute first.  As there is no stationary phase, FFF is often an excellent alternative to liquid chromatography.</w:t>
            </w: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HPLC (FPLC) (SEC)</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High Pressure (or High Performance) Liquid Chromatography.  Also known as FPLC, Fast Protein Liquid Ch</w:t>
            </w:r>
            <w:r w:rsidR="00235976" w:rsidRPr="006D71C9">
              <w:rPr>
                <w:color w:val="000000"/>
                <w:sz w:val="22"/>
              </w:rPr>
              <w:t xml:space="preserve">romatography; </w:t>
            </w:r>
            <w:r w:rsidRPr="006D71C9">
              <w:rPr>
                <w:color w:val="000000"/>
                <w:sz w:val="22"/>
              </w:rPr>
              <w:t>SEC, Size Exclusion Chromatography; or GPC, Gel Permeation Chromatography.  Separates a sample based on hydrodynamic volume by means of flow through a packed column.</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Hydrodynamic Radius</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The radius of a hypothetical sphere with a particular translational diffusion coefficient or intrinsic viscosity.</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Index of Refraction (Refractive Index)</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The interaction of light with matter, related to polarizability (among other properties).  A solvent’s refractive index appears in the k* term of the light scattering equation.</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Intensity of Light</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The power imparted by light on a given area.  Proportional to the square of the magnitude of the electric field.</w:t>
            </w:r>
          </w:p>
          <w:p w:rsidR="00BA1563" w:rsidRPr="006D71C9" w:rsidRDefault="00BA1563" w:rsidP="00A571EB">
            <w:pPr>
              <w:rPr>
                <w:color w:val="000000"/>
                <w:sz w:val="22"/>
              </w:rPr>
            </w:pPr>
          </w:p>
        </w:tc>
      </w:tr>
    </w:tbl>
    <w:p w:rsidR="006D71C9" w:rsidRDefault="006D71C9">
      <w:r>
        <w:br w:type="page"/>
      </w:r>
    </w:p>
    <w:tbl>
      <w:tblPr>
        <w:tblW w:w="9440" w:type="dxa"/>
        <w:tblInd w:w="-60" w:type="dxa"/>
        <w:tblLayout w:type="fixed"/>
        <w:tblCellMar>
          <w:left w:w="30" w:type="dxa"/>
          <w:right w:w="30" w:type="dxa"/>
        </w:tblCellMar>
        <w:tblLook w:val="0000"/>
      </w:tblPr>
      <w:tblGrid>
        <w:gridCol w:w="2695"/>
        <w:gridCol w:w="6745"/>
      </w:tblGrid>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lastRenderedPageBreak/>
              <w:t>Intrinsic Viscosity</w:t>
            </w:r>
          </w:p>
        </w:tc>
        <w:tc>
          <w:tcPr>
            <w:tcW w:w="6745" w:type="dxa"/>
            <w:tcBorders>
              <w:top w:val="nil"/>
              <w:left w:val="nil"/>
              <w:bottom w:val="nil"/>
              <w:right w:val="nil"/>
            </w:tcBorders>
          </w:tcPr>
          <w:p w:rsidR="00BA1563" w:rsidRPr="006D71C9" w:rsidRDefault="00DF3AD4" w:rsidP="00A571EB">
            <w:pPr>
              <w:rPr>
                <w:sz w:val="22"/>
              </w:rPr>
            </w:pPr>
            <w:r w:rsidRPr="006D71C9">
              <w:rPr>
                <w:sz w:val="22"/>
              </w:rPr>
              <w:t>The ratio of specific viscosity and sample concentration.  Used to determine the characteristics of macromolecules by quantifying the effect of the macromolecules on the viscosity of the solution.</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Isotropic Scatterer</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A sample that scatters light equally in all directions.  For λ=690nm, molecules smaller than 10nm in radius are isotropic scatterers.</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k* (Optical Constant)</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Optical constant in the MALS equation.  (2π</w:t>
            </w:r>
            <w:r w:rsidRPr="006D71C9">
              <w:rPr>
                <w:color w:val="000000"/>
                <w:sz w:val="22"/>
                <w:vertAlign w:val="superscript"/>
              </w:rPr>
              <w:t>2</w:t>
            </w:r>
            <w:r w:rsidRPr="006D71C9">
              <w:rPr>
                <w:color w:val="000000"/>
                <w:sz w:val="22"/>
              </w:rPr>
              <w:t>ñ</w:t>
            </w:r>
            <w:r w:rsidRPr="006D71C9">
              <w:rPr>
                <w:color w:val="000000"/>
                <w:sz w:val="22"/>
                <w:vertAlign w:val="subscript"/>
              </w:rPr>
              <w:t>o</w:t>
            </w:r>
            <w:r w:rsidRPr="006D71C9">
              <w:rPr>
                <w:color w:val="000000"/>
                <w:sz w:val="22"/>
                <w:vertAlign w:val="superscript"/>
              </w:rPr>
              <w:t>2</w:t>
            </w:r>
            <w:r w:rsidRPr="006D71C9">
              <w:rPr>
                <w:color w:val="000000"/>
                <w:sz w:val="22"/>
              </w:rPr>
              <w:t>/λ</w:t>
            </w:r>
            <w:r w:rsidRPr="006D71C9">
              <w:rPr>
                <w:color w:val="000000"/>
                <w:sz w:val="22"/>
                <w:vertAlign w:val="subscript"/>
              </w:rPr>
              <w:t>o</w:t>
            </w:r>
            <w:r w:rsidRPr="006D71C9">
              <w:rPr>
                <w:color w:val="000000"/>
                <w:sz w:val="22"/>
                <w:vertAlign w:val="superscript"/>
              </w:rPr>
              <w:t>4</w:t>
            </w:r>
            <w:r w:rsidRPr="006D71C9">
              <w:rPr>
                <w:color w:val="000000"/>
                <w:sz w:val="22"/>
              </w:rPr>
              <w:t>N</w:t>
            </w:r>
            <w:r w:rsidRPr="006D71C9">
              <w:rPr>
                <w:color w:val="000000"/>
                <w:sz w:val="22"/>
                <w:vertAlign w:val="subscript"/>
              </w:rPr>
              <w:t>A</w:t>
            </w:r>
            <w:r w:rsidRPr="006D71C9">
              <w:rPr>
                <w:color w:val="000000"/>
                <w:sz w:val="22"/>
              </w:rPr>
              <w:t>)(</w:t>
            </w:r>
            <w:proofErr w:type="spellStart"/>
            <w:r w:rsidRPr="006D71C9">
              <w:rPr>
                <w:color w:val="000000"/>
                <w:sz w:val="22"/>
              </w:rPr>
              <w:t>dñ</w:t>
            </w:r>
            <w:proofErr w:type="spellEnd"/>
            <w:r w:rsidRPr="006D71C9">
              <w:rPr>
                <w:color w:val="000000"/>
                <w:sz w:val="22"/>
              </w:rPr>
              <w:t>/</w:t>
            </w:r>
            <w:proofErr w:type="spellStart"/>
            <w:r w:rsidRPr="006D71C9">
              <w:rPr>
                <w:color w:val="000000"/>
                <w:sz w:val="22"/>
              </w:rPr>
              <w:t>dC</w:t>
            </w:r>
            <w:proofErr w:type="spellEnd"/>
            <w:proofErr w:type="gramStart"/>
            <w:r w:rsidRPr="006D71C9">
              <w:rPr>
                <w:color w:val="000000"/>
                <w:sz w:val="22"/>
              </w:rPr>
              <w:t>)</w:t>
            </w:r>
            <w:r w:rsidRPr="006D71C9">
              <w:rPr>
                <w:color w:val="000000"/>
                <w:sz w:val="22"/>
                <w:vertAlign w:val="superscript"/>
              </w:rPr>
              <w:t>2</w:t>
            </w:r>
            <w:proofErr w:type="gramEnd"/>
            <w:r w:rsidRPr="006D71C9">
              <w:rPr>
                <w:sz w:val="22"/>
              </w:rPr>
              <w:t>, where</w:t>
            </w:r>
            <w:r w:rsidRPr="006D71C9">
              <w:rPr>
                <w:color w:val="FF0000"/>
                <w:sz w:val="22"/>
              </w:rPr>
              <w:t xml:space="preserve"> </w:t>
            </w:r>
            <w:proofErr w:type="spellStart"/>
            <w:r w:rsidRPr="006D71C9">
              <w:rPr>
                <w:color w:val="000000"/>
                <w:sz w:val="22"/>
              </w:rPr>
              <w:t>ñ</w:t>
            </w:r>
            <w:r w:rsidRPr="006D71C9">
              <w:rPr>
                <w:color w:val="000000"/>
                <w:sz w:val="22"/>
                <w:vertAlign w:val="subscript"/>
              </w:rPr>
              <w:t>o</w:t>
            </w:r>
            <w:proofErr w:type="spellEnd"/>
            <w:r w:rsidRPr="006D71C9">
              <w:rPr>
                <w:color w:val="000000"/>
                <w:sz w:val="22"/>
                <w:vertAlign w:val="subscript"/>
              </w:rPr>
              <w:t xml:space="preserve"> </w:t>
            </w:r>
            <w:r w:rsidRPr="006D71C9">
              <w:rPr>
                <w:color w:val="000000"/>
                <w:sz w:val="22"/>
              </w:rPr>
              <w:t xml:space="preserve">is the solvent refractive index, </w:t>
            </w:r>
            <w:proofErr w:type="spellStart"/>
            <w:r w:rsidRPr="006D71C9">
              <w:rPr>
                <w:color w:val="000000"/>
                <w:sz w:val="22"/>
              </w:rPr>
              <w:t>λ</w:t>
            </w:r>
            <w:r w:rsidRPr="006D71C9">
              <w:rPr>
                <w:color w:val="000000"/>
                <w:sz w:val="22"/>
                <w:vertAlign w:val="subscript"/>
              </w:rPr>
              <w:t>o</w:t>
            </w:r>
            <w:proofErr w:type="spellEnd"/>
            <w:r w:rsidRPr="006D71C9">
              <w:rPr>
                <w:color w:val="000000"/>
                <w:sz w:val="22"/>
                <w:vertAlign w:val="subscript"/>
              </w:rPr>
              <w:t xml:space="preserve"> </w:t>
            </w:r>
            <w:r w:rsidRPr="006D71C9">
              <w:rPr>
                <w:color w:val="000000"/>
                <w:sz w:val="22"/>
              </w:rPr>
              <w:t>is the vacuum wavelength of the incident light, N</w:t>
            </w:r>
            <w:r w:rsidRPr="006D71C9">
              <w:rPr>
                <w:color w:val="000000"/>
                <w:sz w:val="22"/>
                <w:vertAlign w:val="subscript"/>
              </w:rPr>
              <w:t>A</w:t>
            </w:r>
            <w:r w:rsidRPr="006D71C9">
              <w:rPr>
                <w:color w:val="000000"/>
                <w:sz w:val="22"/>
              </w:rPr>
              <w:t xml:space="preserve"> is Avogadro’s number, and </w:t>
            </w:r>
            <w:proofErr w:type="spellStart"/>
            <w:r w:rsidRPr="006D71C9">
              <w:rPr>
                <w:color w:val="000000"/>
                <w:sz w:val="22"/>
              </w:rPr>
              <w:t>dñ</w:t>
            </w:r>
            <w:proofErr w:type="spellEnd"/>
            <w:r w:rsidRPr="006D71C9">
              <w:rPr>
                <w:color w:val="000000"/>
                <w:sz w:val="22"/>
              </w:rPr>
              <w:t>/</w:t>
            </w:r>
            <w:proofErr w:type="spellStart"/>
            <w:r w:rsidRPr="006D71C9">
              <w:rPr>
                <w:color w:val="000000"/>
                <w:sz w:val="22"/>
              </w:rPr>
              <w:t>dC</w:t>
            </w:r>
            <w:proofErr w:type="spellEnd"/>
            <w:r w:rsidRPr="006D71C9">
              <w:rPr>
                <w:color w:val="000000"/>
                <w:sz w:val="22"/>
              </w:rPr>
              <w:t xml:space="preserve"> is the specific refractive index.</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Lorentz-Lorentz Formula</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(R/M) ρ= (ñ</w:t>
            </w:r>
            <w:r w:rsidRPr="006D71C9">
              <w:rPr>
                <w:color w:val="000000"/>
                <w:sz w:val="22"/>
                <w:vertAlign w:val="superscript"/>
              </w:rPr>
              <w:t>2</w:t>
            </w:r>
            <w:r w:rsidRPr="006D71C9">
              <w:rPr>
                <w:color w:val="000000"/>
                <w:sz w:val="22"/>
              </w:rPr>
              <w:t>-1)/ (ñ</w:t>
            </w:r>
            <w:r w:rsidRPr="006D71C9">
              <w:rPr>
                <w:color w:val="000000"/>
                <w:sz w:val="22"/>
                <w:vertAlign w:val="superscript"/>
              </w:rPr>
              <w:t>2</w:t>
            </w:r>
            <w:r w:rsidRPr="006D71C9">
              <w:rPr>
                <w:color w:val="000000"/>
                <w:sz w:val="22"/>
              </w:rPr>
              <w:t>+2); Describes relationship between the refractive index of the solvent and the solvent density.</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bookmarkStart w:id="0" w:name="OLE_LINK1"/>
            <w:r w:rsidRPr="006D71C9">
              <w:rPr>
                <w:color w:val="000000"/>
                <w:sz w:val="22"/>
              </w:rPr>
              <w:t>Mie Model</w:t>
            </w:r>
          </w:p>
          <w:bookmarkEnd w:id="0"/>
          <w:p w:rsidR="00BA1563" w:rsidRPr="006D71C9" w:rsidRDefault="00BA1563" w:rsidP="00A571EB">
            <w:pPr>
              <w:rPr>
                <w:color w:val="000000"/>
                <w:sz w:val="22"/>
              </w:rPr>
            </w:pPr>
          </w:p>
        </w:tc>
        <w:tc>
          <w:tcPr>
            <w:tcW w:w="6745" w:type="dxa"/>
            <w:tcBorders>
              <w:top w:val="nil"/>
              <w:left w:val="nil"/>
              <w:bottom w:val="nil"/>
              <w:right w:val="nil"/>
            </w:tcBorders>
          </w:tcPr>
          <w:p w:rsidR="00BA1563" w:rsidRPr="006D71C9" w:rsidRDefault="0021105B" w:rsidP="00A571EB">
            <w:pPr>
              <w:rPr>
                <w:sz w:val="22"/>
              </w:rPr>
            </w:pPr>
            <w:r w:rsidRPr="006D71C9">
              <w:rPr>
                <w:sz w:val="22"/>
              </w:rPr>
              <w:t>The fit model used in ASTRA when working with larger, non-dissolving particles.  Uses the Mie analysis for a sphere rather than a polynomial to fit the angular light scattering data.</w:t>
            </w:r>
          </w:p>
          <w:p w:rsidR="0021105B" w:rsidRPr="006D71C9" w:rsidRDefault="0021105B"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Molar Mass (M)</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 xml:space="preserve">The mass of one mole of a chemical element or chemical compound.  Absolute measurements of M can be made four known methods: static light scattering (yields Mw), membrane </w:t>
            </w:r>
            <w:proofErr w:type="spellStart"/>
            <w:r w:rsidRPr="006D71C9">
              <w:rPr>
                <w:color w:val="000000"/>
                <w:sz w:val="22"/>
              </w:rPr>
              <w:t>osmometry</w:t>
            </w:r>
            <w:proofErr w:type="spellEnd"/>
            <w:r w:rsidRPr="006D71C9">
              <w:rPr>
                <w:color w:val="000000"/>
                <w:sz w:val="22"/>
              </w:rPr>
              <w:t xml:space="preserve"> (Mn), Analytical Ultracentrifugation (Mz), and Mass Spectroscopy.</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Molar Mass, Weight Averaged (M</w:t>
            </w:r>
            <w:r w:rsidRPr="006D71C9">
              <w:rPr>
                <w:color w:val="000000"/>
                <w:sz w:val="22"/>
                <w:vertAlign w:val="subscript"/>
              </w:rPr>
              <w:t>W</w:t>
            </w:r>
            <w:r w:rsidRPr="006D71C9">
              <w:rPr>
                <w:color w:val="000000"/>
                <w:sz w:val="22"/>
              </w:rPr>
              <w:t>)</w:t>
            </w:r>
          </w:p>
        </w:tc>
        <w:tc>
          <w:tcPr>
            <w:tcW w:w="6745" w:type="dxa"/>
            <w:tcBorders>
              <w:top w:val="nil"/>
              <w:left w:val="nil"/>
              <w:bottom w:val="nil"/>
              <w:right w:val="nil"/>
            </w:tcBorders>
          </w:tcPr>
          <w:p w:rsidR="00BA1563" w:rsidRPr="006D71C9" w:rsidRDefault="00BA1563" w:rsidP="00A571EB">
            <w:pPr>
              <w:rPr>
                <w:sz w:val="22"/>
              </w:rPr>
            </w:pPr>
            <w:r w:rsidRPr="006D71C9">
              <w:rPr>
                <w:sz w:val="22"/>
              </w:rPr>
              <w:t xml:space="preserve">The molar mass measurement obtained by static light scattering in flowing mode or in the static “batch” mode.  </w:t>
            </w:r>
          </w:p>
          <w:p w:rsidR="00BA1563" w:rsidRPr="006D71C9" w:rsidRDefault="00BA1563" w:rsidP="00A571EB">
            <w:pPr>
              <w:rPr>
                <w:sz w:val="22"/>
              </w:rPr>
            </w:pPr>
            <w:r w:rsidRPr="006D71C9">
              <w:rPr>
                <w:color w:val="000000"/>
                <w:sz w:val="22"/>
              </w:rPr>
              <w:t xml:space="preserve">In the flowing mode </w:t>
            </w:r>
            <w:r w:rsidRPr="006D71C9">
              <w:rPr>
                <w:sz w:val="22"/>
              </w:rPr>
              <w:t>M</w:t>
            </w:r>
            <w:r w:rsidRPr="006D71C9">
              <w:rPr>
                <w:sz w:val="22"/>
                <w:vertAlign w:val="subscript"/>
              </w:rPr>
              <w:t xml:space="preserve">w </w:t>
            </w:r>
            <w:r w:rsidRPr="006D71C9">
              <w:rPr>
                <w:sz w:val="22"/>
              </w:rPr>
              <w:t>= (Σn</w:t>
            </w:r>
            <w:r w:rsidRPr="006D71C9">
              <w:rPr>
                <w:sz w:val="22"/>
                <w:vertAlign w:val="subscript"/>
              </w:rPr>
              <w:t>i</w:t>
            </w:r>
            <w:r w:rsidRPr="006D71C9">
              <w:rPr>
                <w:sz w:val="22"/>
              </w:rPr>
              <w:t>M</w:t>
            </w:r>
            <w:r w:rsidRPr="006D71C9">
              <w:rPr>
                <w:sz w:val="22"/>
                <w:vertAlign w:val="subscript"/>
              </w:rPr>
              <w:t>i</w:t>
            </w:r>
            <w:r w:rsidRPr="006D71C9">
              <w:rPr>
                <w:sz w:val="22"/>
                <w:vertAlign w:val="superscript"/>
              </w:rPr>
              <w:t>2</w:t>
            </w:r>
            <w:r w:rsidRPr="006D71C9">
              <w:rPr>
                <w:sz w:val="22"/>
              </w:rPr>
              <w:t>)/(</w:t>
            </w:r>
            <w:proofErr w:type="spellStart"/>
            <w:r w:rsidRPr="006D71C9">
              <w:rPr>
                <w:sz w:val="22"/>
              </w:rPr>
              <w:t>Σn</w:t>
            </w:r>
            <w:r w:rsidRPr="006D71C9">
              <w:rPr>
                <w:sz w:val="22"/>
                <w:vertAlign w:val="subscript"/>
              </w:rPr>
              <w:t>i</w:t>
            </w:r>
            <w:r w:rsidRPr="006D71C9">
              <w:rPr>
                <w:sz w:val="22"/>
              </w:rPr>
              <w:t>M</w:t>
            </w:r>
            <w:r w:rsidRPr="006D71C9">
              <w:rPr>
                <w:sz w:val="22"/>
                <w:vertAlign w:val="subscript"/>
              </w:rPr>
              <w:t>i</w:t>
            </w:r>
            <w:proofErr w:type="spellEnd"/>
            <w:r w:rsidRPr="006D71C9">
              <w:rPr>
                <w:sz w:val="22"/>
              </w:rPr>
              <w:t>)</w:t>
            </w:r>
          </w:p>
        </w:tc>
      </w:tr>
      <w:tr w:rsidR="00BA1563" w:rsidTr="006D71C9">
        <w:trPr>
          <w:trHeight w:val="247"/>
        </w:trPr>
        <w:tc>
          <w:tcPr>
            <w:tcW w:w="2695" w:type="dxa"/>
            <w:tcBorders>
              <w:top w:val="nil"/>
              <w:left w:val="nil"/>
              <w:bottom w:val="nil"/>
              <w:right w:val="nil"/>
            </w:tcBorders>
          </w:tcPr>
          <w:p w:rsidR="00F03957" w:rsidRPr="006D71C9" w:rsidRDefault="00F03957" w:rsidP="00A571EB">
            <w:pPr>
              <w:rPr>
                <w:color w:val="000000"/>
                <w:sz w:val="22"/>
              </w:rPr>
            </w:pPr>
          </w:p>
          <w:p w:rsidR="00BA1563" w:rsidRPr="006D71C9" w:rsidRDefault="00BA1563" w:rsidP="00A571EB">
            <w:pPr>
              <w:rPr>
                <w:color w:val="000000"/>
                <w:sz w:val="22"/>
              </w:rPr>
            </w:pPr>
            <w:r w:rsidRPr="006D71C9">
              <w:rPr>
                <w:color w:val="000000"/>
                <w:sz w:val="22"/>
              </w:rPr>
              <w:t>Normalization</w:t>
            </w:r>
          </w:p>
        </w:tc>
        <w:tc>
          <w:tcPr>
            <w:tcW w:w="6745" w:type="dxa"/>
            <w:tcBorders>
              <w:top w:val="nil"/>
              <w:left w:val="nil"/>
              <w:bottom w:val="nil"/>
              <w:right w:val="nil"/>
            </w:tcBorders>
          </w:tcPr>
          <w:p w:rsidR="00F03957" w:rsidRPr="006D71C9" w:rsidRDefault="00F03957" w:rsidP="00A571EB">
            <w:pPr>
              <w:rPr>
                <w:color w:val="000000"/>
                <w:sz w:val="22"/>
              </w:rPr>
            </w:pPr>
          </w:p>
          <w:p w:rsidR="00BA1563" w:rsidRPr="006D71C9" w:rsidRDefault="00BA1563" w:rsidP="00A571EB">
            <w:pPr>
              <w:rPr>
                <w:color w:val="000000"/>
                <w:sz w:val="22"/>
              </w:rPr>
            </w:pPr>
            <w:r w:rsidRPr="006D71C9">
              <w:rPr>
                <w:color w:val="000000"/>
                <w:sz w:val="22"/>
              </w:rPr>
              <w:t>MALS - Relating the voltages of all detectors to the calibrated voltage of the 90° detector.  Performed with an isotropic scatterer and (if using the flow cell or microcuvette) the solvent to be used for experimentation.</w:t>
            </w:r>
          </w:p>
          <w:p w:rsidR="00564EA2" w:rsidRPr="006D71C9" w:rsidRDefault="00564EA2"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Particle Scattering Function P(θ)</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The angular variation of scattered light intensity as a function of particle size.</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Quasi-Elastic Light Scattering (QELS)</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 xml:space="preserve">Also known as dynamic light scattering or photon correlation spectroscopy, QELS uses the change in scattered light caused by Brownian motion in the sample to measure the translational diffusion Dt of the molecules in solution.  Dt yields hydrodynamic radius Rh via the Stokes-Einstein equation.  </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Radius, Hydrodynamic</w:t>
            </w:r>
          </w:p>
          <w:p w:rsidR="00BA1563" w:rsidRPr="006D71C9" w:rsidRDefault="00BA1563" w:rsidP="00A571EB">
            <w:pPr>
              <w:rPr>
                <w:color w:val="000000"/>
                <w:sz w:val="22"/>
              </w:rPr>
            </w:pPr>
            <w:r w:rsidRPr="006D71C9">
              <w:rPr>
                <w:color w:val="000000"/>
                <w:sz w:val="22"/>
              </w:rPr>
              <w:t>R</w:t>
            </w:r>
            <w:r w:rsidRPr="006D71C9">
              <w:rPr>
                <w:color w:val="000000"/>
                <w:sz w:val="22"/>
                <w:vertAlign w:val="subscript"/>
              </w:rPr>
              <w:t>h</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The radius of a hypothetical hard sphere with a particular translational diffusion coefficient or intrinsic viscosity.</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Radius, Root Mean Square (r</w:t>
            </w:r>
            <w:r w:rsidRPr="006D71C9">
              <w:rPr>
                <w:color w:val="000000"/>
                <w:sz w:val="22"/>
                <w:vertAlign w:val="subscript"/>
              </w:rPr>
              <w:t>g</w:t>
            </w:r>
            <w:r w:rsidRPr="006D71C9">
              <w:rPr>
                <w:color w:val="000000"/>
                <w:sz w:val="22"/>
              </w:rPr>
              <w:t>)</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Measure of molecular size based on the molecule’s mass distribution around its center of mass.  Also known as rms radius or (incorrectly) as radius of gyration.</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Rayleigh Ratio (R(θ))</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The ratio of scattered to incident light intensity, with the scattered intensity being summed over all space.</w:t>
            </w:r>
          </w:p>
          <w:p w:rsidR="00BA1563" w:rsidRPr="006D71C9" w:rsidRDefault="00BA1563" w:rsidP="00A571EB">
            <w:pPr>
              <w:rPr>
                <w:color w:val="000000"/>
                <w:sz w:val="22"/>
              </w:rPr>
            </w:pPr>
            <w:proofErr w:type="spellStart"/>
            <w:r w:rsidRPr="006D71C9">
              <w:rPr>
                <w:color w:val="000000"/>
                <w:sz w:val="22"/>
              </w:rPr>
              <w:t>R</w:t>
            </w:r>
            <w:r w:rsidRPr="006D71C9">
              <w:rPr>
                <w:color w:val="000000"/>
                <w:sz w:val="22"/>
                <w:vertAlign w:val="subscript"/>
              </w:rPr>
              <w:t>θ</w:t>
            </w:r>
            <w:proofErr w:type="spellEnd"/>
            <w:r w:rsidRPr="006D71C9">
              <w:rPr>
                <w:color w:val="000000"/>
                <w:sz w:val="22"/>
              </w:rPr>
              <w:t>=i</w:t>
            </w:r>
            <w:r w:rsidRPr="006D71C9">
              <w:rPr>
                <w:color w:val="000000"/>
                <w:sz w:val="22"/>
                <w:vertAlign w:val="subscript"/>
              </w:rPr>
              <w:t>s</w:t>
            </w:r>
            <w:r w:rsidRPr="006D71C9">
              <w:rPr>
                <w:color w:val="000000"/>
                <w:sz w:val="22"/>
              </w:rPr>
              <w:t>/</w:t>
            </w:r>
            <w:proofErr w:type="gramStart"/>
            <w:r w:rsidRPr="006D71C9">
              <w:rPr>
                <w:color w:val="000000"/>
                <w:sz w:val="22"/>
              </w:rPr>
              <w:t>I</w:t>
            </w:r>
            <w:r w:rsidRPr="006D71C9">
              <w:rPr>
                <w:color w:val="000000"/>
                <w:sz w:val="22"/>
                <w:vertAlign w:val="subscript"/>
              </w:rPr>
              <w:t>o</w:t>
            </w:r>
            <w:r w:rsidRPr="006D71C9">
              <w:rPr>
                <w:color w:val="000000"/>
                <w:sz w:val="22"/>
              </w:rPr>
              <w:t>(</w:t>
            </w:r>
            <w:proofErr w:type="gramEnd"/>
            <w:r w:rsidRPr="006D71C9">
              <w:rPr>
                <w:color w:val="000000"/>
                <w:sz w:val="22"/>
              </w:rPr>
              <w:t>r</w:t>
            </w:r>
            <w:r w:rsidRPr="006D71C9">
              <w:rPr>
                <w:color w:val="000000"/>
                <w:sz w:val="22"/>
                <w:vertAlign w:val="superscript"/>
              </w:rPr>
              <w:t>2</w:t>
            </w:r>
            <w:r w:rsidRPr="006D71C9">
              <w:rPr>
                <w:color w:val="000000"/>
                <w:sz w:val="22"/>
              </w:rPr>
              <w:t>/(1+cos</w:t>
            </w:r>
            <w:r w:rsidRPr="006D71C9">
              <w:rPr>
                <w:color w:val="000000"/>
                <w:sz w:val="22"/>
                <w:vertAlign w:val="superscript"/>
              </w:rPr>
              <w:t>2</w:t>
            </w:r>
            <w:r w:rsidRPr="006D71C9">
              <w:rPr>
                <w:color w:val="000000"/>
                <w:sz w:val="22"/>
              </w:rPr>
              <w:t>θ)).</w:t>
            </w: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lastRenderedPageBreak/>
              <w:t>Refraction</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The bending of light at an interface between media with different indices of refraction.  In a Wyatt MALS flow cell normalization corrects for refraction at the liquid/glass interface, which varies with detector angle.</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Relative Viscosity</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The ratio of viscosity (isothermal) of pure solvent to a solution of known concentration.</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Specific Refractive Index Increment (dn/dc)</w:t>
            </w:r>
          </w:p>
          <w:p w:rsidR="00BA1563" w:rsidRPr="006D71C9" w:rsidRDefault="00BA1563" w:rsidP="00A571EB">
            <w:pPr>
              <w:rPr>
                <w:color w:val="000000"/>
                <w:sz w:val="22"/>
              </w:rPr>
            </w:pP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See “dn/dc”</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Specific Viscosity</w:t>
            </w:r>
          </w:p>
        </w:tc>
        <w:tc>
          <w:tcPr>
            <w:tcW w:w="6745" w:type="dxa"/>
            <w:tcBorders>
              <w:top w:val="nil"/>
              <w:left w:val="nil"/>
              <w:bottom w:val="nil"/>
              <w:right w:val="nil"/>
            </w:tcBorders>
          </w:tcPr>
          <w:p w:rsidR="00BA1563" w:rsidRPr="006D71C9" w:rsidRDefault="00564EA2" w:rsidP="00A571EB">
            <w:pPr>
              <w:rPr>
                <w:sz w:val="22"/>
              </w:rPr>
            </w:pPr>
            <w:r w:rsidRPr="006D71C9">
              <w:rPr>
                <w:sz w:val="22"/>
              </w:rPr>
              <w:t>The ratio of the viscosities of a polymer solution and pure solvent minus one.  Measured at low polymer concentrations and constant temperature.</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Stretch Factor, k</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An arbitrary scaling factor determined by the ASTRA software to plot the values of k*c and sin</w:t>
            </w:r>
            <w:r w:rsidRPr="006D71C9">
              <w:rPr>
                <w:color w:val="000000"/>
                <w:sz w:val="22"/>
                <w:vertAlign w:val="superscript"/>
              </w:rPr>
              <w:t>2</w:t>
            </w:r>
            <w:r w:rsidRPr="006D71C9">
              <w:rPr>
                <w:color w:val="000000"/>
                <w:sz w:val="22"/>
              </w:rPr>
              <w:t xml:space="preserve"> (θ/2) in the same numerical range for visual presentation in an ASTRA Zimm plot.</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EE6E6F" w:rsidP="00A571EB">
            <w:pPr>
              <w:rPr>
                <w:color w:val="000000"/>
                <w:sz w:val="22"/>
              </w:rPr>
            </w:pPr>
            <w:r w:rsidRPr="006D71C9">
              <w:rPr>
                <w:sz w:val="22"/>
              </w:rPr>
              <w:br w:type="page"/>
            </w:r>
            <w:r w:rsidR="00BA1563" w:rsidRPr="006D71C9">
              <w:rPr>
                <w:color w:val="000000"/>
                <w:sz w:val="22"/>
              </w:rPr>
              <w:t>Stokes-Einstein Equation</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Equation for calculating the hydrodynamic radius: R</w:t>
            </w:r>
            <w:r w:rsidRPr="006D71C9">
              <w:rPr>
                <w:color w:val="000000"/>
                <w:sz w:val="22"/>
                <w:vertAlign w:val="subscript"/>
              </w:rPr>
              <w:t>h</w:t>
            </w:r>
            <w:r w:rsidRPr="006D71C9">
              <w:rPr>
                <w:color w:val="000000"/>
                <w:sz w:val="22"/>
              </w:rPr>
              <w:t>=</w:t>
            </w:r>
            <w:proofErr w:type="spellStart"/>
            <w:r w:rsidRPr="006D71C9">
              <w:rPr>
                <w:color w:val="000000"/>
                <w:sz w:val="22"/>
              </w:rPr>
              <w:t>kT</w:t>
            </w:r>
            <w:proofErr w:type="spellEnd"/>
            <w:r w:rsidRPr="006D71C9">
              <w:rPr>
                <w:color w:val="000000"/>
                <w:sz w:val="22"/>
              </w:rPr>
              <w:t>/6πDη where R</w:t>
            </w:r>
            <w:r w:rsidRPr="006D71C9">
              <w:rPr>
                <w:color w:val="000000"/>
                <w:sz w:val="22"/>
                <w:vertAlign w:val="subscript"/>
              </w:rPr>
              <w:t>h</w:t>
            </w:r>
            <w:r w:rsidRPr="006D71C9">
              <w:rPr>
                <w:color w:val="000000"/>
                <w:sz w:val="22"/>
              </w:rPr>
              <w:t xml:space="preserve"> is hydrodynamic radius, k is Boltzmann’s constant, T is temperature (Kelvin), and η is the viscosity of the solvent.</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Toluene</w:t>
            </w:r>
          </w:p>
        </w:tc>
        <w:tc>
          <w:tcPr>
            <w:tcW w:w="6745" w:type="dxa"/>
            <w:tcBorders>
              <w:top w:val="nil"/>
              <w:left w:val="nil"/>
              <w:bottom w:val="nil"/>
              <w:right w:val="nil"/>
            </w:tcBorders>
          </w:tcPr>
          <w:p w:rsidR="00BA1563" w:rsidRPr="006D71C9" w:rsidRDefault="00BA1563" w:rsidP="00A571EB">
            <w:pPr>
              <w:rPr>
                <w:sz w:val="22"/>
              </w:rPr>
            </w:pPr>
            <w:r w:rsidRPr="006D71C9">
              <w:rPr>
                <w:sz w:val="22"/>
              </w:rPr>
              <w:t xml:space="preserve">Standard organic solvent used in light scattering calibration due to its large, well-known Rayleigh ratio.  </w:t>
            </w:r>
          </w:p>
          <w:p w:rsidR="00BA1563" w:rsidRPr="006D71C9" w:rsidRDefault="00BA1563" w:rsidP="00A571EB">
            <w:pPr>
              <w:rPr>
                <w:color w:val="000000"/>
                <w:sz w:val="22"/>
              </w:rPr>
            </w:pPr>
            <w:r w:rsidRPr="006D71C9">
              <w:rPr>
                <w:color w:val="000000"/>
                <w:sz w:val="22"/>
              </w:rPr>
              <w:t>Also used in the making of Trinitrotoluene, TNT.</w:t>
            </w:r>
          </w:p>
          <w:p w:rsidR="00BA1563" w:rsidRPr="006D71C9" w:rsidRDefault="00BA1563" w:rsidP="00A571EB">
            <w:pPr>
              <w:rPr>
                <w:color w:val="000000"/>
                <w:sz w:val="22"/>
              </w:rPr>
            </w:pPr>
          </w:p>
        </w:tc>
      </w:tr>
      <w:tr w:rsidR="00EE6E6F" w:rsidTr="006D71C9">
        <w:trPr>
          <w:trHeight w:val="247"/>
        </w:trPr>
        <w:tc>
          <w:tcPr>
            <w:tcW w:w="2695" w:type="dxa"/>
            <w:tcBorders>
              <w:top w:val="nil"/>
              <w:left w:val="nil"/>
              <w:bottom w:val="nil"/>
              <w:right w:val="nil"/>
            </w:tcBorders>
          </w:tcPr>
          <w:p w:rsidR="00EE6E6F" w:rsidRPr="006D71C9" w:rsidRDefault="00EE6E6F" w:rsidP="00A571EB">
            <w:pPr>
              <w:rPr>
                <w:color w:val="000000"/>
                <w:sz w:val="22"/>
              </w:rPr>
            </w:pPr>
            <w:r w:rsidRPr="006D71C9">
              <w:rPr>
                <w:color w:val="000000"/>
                <w:sz w:val="22"/>
              </w:rPr>
              <w:t xml:space="preserve">Translational </w:t>
            </w:r>
            <w:r w:rsidR="00942C58" w:rsidRPr="006D71C9">
              <w:rPr>
                <w:color w:val="000000"/>
                <w:sz w:val="22"/>
              </w:rPr>
              <w:t xml:space="preserve">Diffusion </w:t>
            </w:r>
            <w:r w:rsidRPr="006D71C9">
              <w:rPr>
                <w:color w:val="000000"/>
                <w:sz w:val="22"/>
              </w:rPr>
              <w:t>Coefficient (D</w:t>
            </w:r>
            <w:r w:rsidR="00235976" w:rsidRPr="006D71C9">
              <w:rPr>
                <w:color w:val="000000"/>
                <w:sz w:val="22"/>
                <w:vertAlign w:val="subscript"/>
              </w:rPr>
              <w:t>t</w:t>
            </w:r>
            <w:r w:rsidRPr="006D71C9">
              <w:rPr>
                <w:color w:val="000000"/>
                <w:sz w:val="22"/>
              </w:rPr>
              <w:t>)</w:t>
            </w:r>
          </w:p>
          <w:p w:rsidR="00EE6E6F" w:rsidRPr="006D71C9" w:rsidRDefault="00EE6E6F" w:rsidP="00A571EB">
            <w:pPr>
              <w:rPr>
                <w:color w:val="000000"/>
                <w:sz w:val="22"/>
              </w:rPr>
            </w:pPr>
          </w:p>
        </w:tc>
        <w:tc>
          <w:tcPr>
            <w:tcW w:w="6745" w:type="dxa"/>
            <w:tcBorders>
              <w:top w:val="nil"/>
              <w:left w:val="nil"/>
              <w:bottom w:val="nil"/>
              <w:right w:val="nil"/>
            </w:tcBorders>
          </w:tcPr>
          <w:p w:rsidR="00EE6E6F" w:rsidRPr="006D71C9" w:rsidRDefault="00EE6E6F" w:rsidP="00A571EB">
            <w:pPr>
              <w:rPr>
                <w:color w:val="000000"/>
                <w:sz w:val="22"/>
              </w:rPr>
            </w:pPr>
            <w:r w:rsidRPr="006D71C9">
              <w:rPr>
                <w:color w:val="000000"/>
                <w:sz w:val="22"/>
              </w:rPr>
              <w:t xml:space="preserve">The </w:t>
            </w:r>
            <w:r w:rsidR="00B33229" w:rsidRPr="006D71C9">
              <w:rPr>
                <w:color w:val="000000"/>
                <w:sz w:val="22"/>
              </w:rPr>
              <w:t xml:space="preserve">rate of the translational movement of </w:t>
            </w:r>
            <w:r w:rsidR="00DD32E9" w:rsidRPr="006D71C9">
              <w:rPr>
                <w:color w:val="000000"/>
                <w:sz w:val="22"/>
              </w:rPr>
              <w:t>molecules</w:t>
            </w:r>
            <w:r w:rsidR="00B33229" w:rsidRPr="006D71C9">
              <w:rPr>
                <w:color w:val="000000"/>
                <w:sz w:val="22"/>
              </w:rPr>
              <w:t xml:space="preserve"> due to</w:t>
            </w:r>
            <w:r w:rsidRPr="006D71C9">
              <w:rPr>
                <w:color w:val="000000"/>
                <w:sz w:val="22"/>
              </w:rPr>
              <w:t xml:space="preserve"> Brownian motion.  Proportional to 1/</w:t>
            </w:r>
            <w:r w:rsidR="00DD32E9" w:rsidRPr="006D71C9">
              <w:rPr>
                <w:color w:val="000000"/>
                <w:sz w:val="22"/>
              </w:rPr>
              <w:t>R</w:t>
            </w:r>
            <w:r w:rsidRPr="006D71C9">
              <w:rPr>
                <w:color w:val="000000"/>
                <w:sz w:val="22"/>
                <w:vertAlign w:val="subscript"/>
              </w:rPr>
              <w:t>h</w:t>
            </w:r>
            <w:r w:rsidRPr="006D71C9">
              <w:rPr>
                <w:color w:val="000000"/>
                <w:sz w:val="22"/>
              </w:rPr>
              <w:t>.</w:t>
            </w: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Viscosity</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The resistance of liquid to flow due to internal friction.</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Wavelength (λ)</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The distance between repeating units in the pattern of a wave of light.  Appears in the k* term of the light scattering equation.</w:t>
            </w:r>
          </w:p>
          <w:p w:rsidR="00BA1563" w:rsidRPr="006D71C9" w:rsidRDefault="00BA1563" w:rsidP="00A571EB">
            <w:pPr>
              <w:rPr>
                <w:color w:val="000000"/>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Zimm Formalism</w:t>
            </w:r>
          </w:p>
        </w:tc>
        <w:tc>
          <w:tcPr>
            <w:tcW w:w="6745" w:type="dxa"/>
            <w:tcBorders>
              <w:top w:val="nil"/>
              <w:left w:val="nil"/>
              <w:bottom w:val="nil"/>
              <w:right w:val="nil"/>
            </w:tcBorders>
          </w:tcPr>
          <w:p w:rsidR="00564EA2" w:rsidRPr="006D71C9" w:rsidRDefault="00BA1563" w:rsidP="00A571EB">
            <w:pPr>
              <w:rPr>
                <w:sz w:val="22"/>
              </w:rPr>
            </w:pPr>
            <w:r w:rsidRPr="006D71C9">
              <w:rPr>
                <w:color w:val="000000"/>
                <w:sz w:val="22"/>
              </w:rPr>
              <w:t>K*c/</w:t>
            </w:r>
            <w:proofErr w:type="gramStart"/>
            <w:r w:rsidRPr="006D71C9">
              <w:rPr>
                <w:color w:val="000000"/>
                <w:sz w:val="22"/>
              </w:rPr>
              <w:t>R(</w:t>
            </w:r>
            <w:proofErr w:type="gramEnd"/>
            <w:r w:rsidRPr="006D71C9">
              <w:rPr>
                <w:color w:val="000000"/>
                <w:sz w:val="22"/>
              </w:rPr>
              <w:t xml:space="preserve">θ)   </w:t>
            </w:r>
            <w:r w:rsidR="00564EA2" w:rsidRPr="006D71C9">
              <w:rPr>
                <w:sz w:val="22"/>
              </w:rPr>
              <w:t>Best for small to mid-sized molecules (RMS radii up to 50nm and higher).  More linear than Debye, therefore a lower order polynomial fit can be used.</w:t>
            </w:r>
          </w:p>
          <w:p w:rsidR="00A571EB" w:rsidRPr="006D71C9" w:rsidRDefault="00A571EB" w:rsidP="00A571EB">
            <w:pPr>
              <w:rPr>
                <w:sz w:val="22"/>
              </w:rPr>
            </w:pPr>
          </w:p>
        </w:tc>
      </w:tr>
      <w:tr w:rsidR="00BA1563" w:rsidTr="006D71C9">
        <w:trPr>
          <w:trHeight w:val="247"/>
        </w:trPr>
        <w:tc>
          <w:tcPr>
            <w:tcW w:w="2695" w:type="dxa"/>
            <w:tcBorders>
              <w:top w:val="nil"/>
              <w:left w:val="nil"/>
              <w:bottom w:val="nil"/>
              <w:right w:val="nil"/>
            </w:tcBorders>
          </w:tcPr>
          <w:p w:rsidR="00BA1563" w:rsidRPr="006D71C9" w:rsidRDefault="00BA1563" w:rsidP="00A571EB">
            <w:pPr>
              <w:rPr>
                <w:color w:val="000000"/>
                <w:sz w:val="22"/>
              </w:rPr>
            </w:pPr>
            <w:r w:rsidRPr="006D71C9">
              <w:rPr>
                <w:color w:val="000000"/>
                <w:sz w:val="22"/>
              </w:rPr>
              <w:t>Zimm Plot</w:t>
            </w:r>
          </w:p>
        </w:tc>
        <w:tc>
          <w:tcPr>
            <w:tcW w:w="6745" w:type="dxa"/>
            <w:tcBorders>
              <w:top w:val="nil"/>
              <w:left w:val="nil"/>
              <w:bottom w:val="nil"/>
              <w:right w:val="nil"/>
            </w:tcBorders>
          </w:tcPr>
          <w:p w:rsidR="00BA1563" w:rsidRPr="006D71C9" w:rsidRDefault="00BA1563" w:rsidP="00A571EB">
            <w:pPr>
              <w:rPr>
                <w:color w:val="000000"/>
                <w:sz w:val="22"/>
              </w:rPr>
            </w:pPr>
            <w:r w:rsidRPr="006D71C9">
              <w:rPr>
                <w:color w:val="000000"/>
                <w:sz w:val="22"/>
              </w:rPr>
              <w:t>A plot combining concentration and angular light scattering data to determine molar mass, rms radius, and 2nd virial coefficient.</w:t>
            </w:r>
          </w:p>
        </w:tc>
      </w:tr>
    </w:tbl>
    <w:p w:rsidR="00BA1563" w:rsidRDefault="00BA1563" w:rsidP="00A571EB"/>
    <w:sectPr w:rsidR="00BA1563" w:rsidSect="006D71C9">
      <w:footerReference w:type="default" r:id="rId6"/>
      <w:pgSz w:w="12240" w:h="15840"/>
      <w:pgMar w:top="1350" w:right="1350" w:bottom="990" w:left="1440" w:header="720" w:footer="1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566" w:rsidRDefault="00C52566">
      <w:r>
        <w:separator/>
      </w:r>
    </w:p>
  </w:endnote>
  <w:endnote w:type="continuationSeparator" w:id="0">
    <w:p w:rsidR="00C52566" w:rsidRDefault="00C525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1EB" w:rsidRPr="007A012A" w:rsidRDefault="00A571EB" w:rsidP="006D71C9">
    <w:pPr>
      <w:pStyle w:val="Footer"/>
      <w:tabs>
        <w:tab w:val="clear" w:pos="8640"/>
        <w:tab w:val="right" w:pos="9360"/>
      </w:tabs>
      <w:ind w:left="-90"/>
      <w:rPr>
        <w:sz w:val="18"/>
        <w:szCs w:val="20"/>
      </w:rPr>
    </w:pPr>
    <w:r w:rsidRPr="007A012A">
      <w:rPr>
        <w:sz w:val="18"/>
        <w:szCs w:val="20"/>
      </w:rPr>
      <w:t xml:space="preserve">© </w:t>
    </w:r>
    <w:r w:rsidR="00A933B3" w:rsidRPr="007A012A">
      <w:rPr>
        <w:sz w:val="18"/>
        <w:szCs w:val="20"/>
      </w:rPr>
      <w:t>20</w:t>
    </w:r>
    <w:r w:rsidR="00235976" w:rsidRPr="007A012A">
      <w:rPr>
        <w:sz w:val="18"/>
        <w:szCs w:val="20"/>
      </w:rPr>
      <w:t>1</w:t>
    </w:r>
    <w:r w:rsidR="002B35F1" w:rsidRPr="007A012A">
      <w:rPr>
        <w:sz w:val="18"/>
        <w:szCs w:val="20"/>
      </w:rPr>
      <w:t>1</w:t>
    </w:r>
    <w:r w:rsidR="00A933B3" w:rsidRPr="007A012A">
      <w:rPr>
        <w:sz w:val="18"/>
        <w:szCs w:val="20"/>
      </w:rPr>
      <w:t xml:space="preserve"> </w:t>
    </w:r>
    <w:r w:rsidRPr="007A012A">
      <w:rPr>
        <w:sz w:val="18"/>
        <w:szCs w:val="20"/>
      </w:rPr>
      <w:t>Wyatt Technology Cor</w:t>
    </w:r>
    <w:r w:rsidR="00AB4C42" w:rsidRPr="007A012A">
      <w:rPr>
        <w:sz w:val="18"/>
        <w:szCs w:val="20"/>
      </w:rPr>
      <w:t>poration – All Rights Reserved</w:t>
    </w:r>
    <w:r w:rsidR="00AB4C42" w:rsidRPr="007A012A">
      <w:rPr>
        <w:sz w:val="18"/>
        <w:szCs w:val="20"/>
      </w:rPr>
      <w:tab/>
    </w:r>
    <w:r w:rsidR="00954CB3" w:rsidRPr="007A012A">
      <w:rPr>
        <w:sz w:val="18"/>
        <w:szCs w:val="20"/>
      </w:rPr>
      <w:fldChar w:fldCharType="begin"/>
    </w:r>
    <w:r w:rsidRPr="007A012A">
      <w:rPr>
        <w:sz w:val="18"/>
        <w:szCs w:val="20"/>
      </w:rPr>
      <w:instrText xml:space="preserve"> PAGE   \* MERGEFORMAT </w:instrText>
    </w:r>
    <w:r w:rsidR="00954CB3" w:rsidRPr="007A012A">
      <w:rPr>
        <w:sz w:val="18"/>
        <w:szCs w:val="20"/>
      </w:rPr>
      <w:fldChar w:fldCharType="separate"/>
    </w:r>
    <w:r w:rsidR="0015199F">
      <w:rPr>
        <w:noProof/>
        <w:sz w:val="18"/>
        <w:szCs w:val="20"/>
      </w:rPr>
      <w:t>1</w:t>
    </w:r>
    <w:r w:rsidR="00954CB3" w:rsidRPr="007A012A">
      <w:rPr>
        <w:sz w:val="18"/>
        <w:szCs w:val="20"/>
      </w:rPr>
      <w:fldChar w:fldCharType="end"/>
    </w:r>
  </w:p>
  <w:p w:rsidR="00A571EB" w:rsidRDefault="00A571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566" w:rsidRDefault="00C52566">
      <w:r>
        <w:separator/>
      </w:r>
    </w:p>
  </w:footnote>
  <w:footnote w:type="continuationSeparator" w:id="0">
    <w:p w:rsidR="00C52566" w:rsidRDefault="00C525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8" w:nlCheck="1" w:checkStyle="1"/>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783C32"/>
    <w:rsid w:val="0015199F"/>
    <w:rsid w:val="001B44F8"/>
    <w:rsid w:val="0021105B"/>
    <w:rsid w:val="00235976"/>
    <w:rsid w:val="002B35F1"/>
    <w:rsid w:val="002C2E94"/>
    <w:rsid w:val="003D46A1"/>
    <w:rsid w:val="004E2F9F"/>
    <w:rsid w:val="00564EA2"/>
    <w:rsid w:val="00685C82"/>
    <w:rsid w:val="006D71C9"/>
    <w:rsid w:val="00783C32"/>
    <w:rsid w:val="007A012A"/>
    <w:rsid w:val="00870538"/>
    <w:rsid w:val="00942C58"/>
    <w:rsid w:val="00954CB3"/>
    <w:rsid w:val="00A30A1E"/>
    <w:rsid w:val="00A571EB"/>
    <w:rsid w:val="00A933B3"/>
    <w:rsid w:val="00AB4C42"/>
    <w:rsid w:val="00B33229"/>
    <w:rsid w:val="00BA1563"/>
    <w:rsid w:val="00C52566"/>
    <w:rsid w:val="00DD32E9"/>
    <w:rsid w:val="00DF3AD4"/>
    <w:rsid w:val="00E36561"/>
    <w:rsid w:val="00EE19A3"/>
    <w:rsid w:val="00EE6E6F"/>
    <w:rsid w:val="00F03957"/>
    <w:rsid w:val="00F702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1EB"/>
    <w:rPr>
      <w:rFonts w:ascii="Calibri" w:hAnsi="Calibri"/>
      <w:sz w:val="24"/>
      <w:szCs w:val="24"/>
    </w:rPr>
  </w:style>
  <w:style w:type="paragraph" w:styleId="Heading1">
    <w:name w:val="heading 1"/>
    <w:basedOn w:val="Normal"/>
    <w:next w:val="Normal"/>
    <w:qFormat/>
    <w:rsid w:val="00A571EB"/>
    <w:pPr>
      <w:keepNext/>
      <w:autoSpaceDE w:val="0"/>
      <w:autoSpaceDN w:val="0"/>
      <w:adjustRightInd w:val="0"/>
      <w:jc w:val="center"/>
      <w:outlineLvl w:val="0"/>
    </w:pPr>
    <w:rPr>
      <w:rFonts w:cs="Arial"/>
      <w:b/>
      <w:bCs/>
      <w:color w:val="00000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70538"/>
    <w:rPr>
      <w:color w:val="0000FF"/>
      <w:u w:val="single"/>
    </w:rPr>
  </w:style>
  <w:style w:type="paragraph" w:styleId="BodyText">
    <w:name w:val="Body Text"/>
    <w:basedOn w:val="Normal"/>
    <w:rsid w:val="00870538"/>
    <w:pPr>
      <w:autoSpaceDE w:val="0"/>
      <w:autoSpaceDN w:val="0"/>
      <w:adjustRightInd w:val="0"/>
    </w:pPr>
    <w:rPr>
      <w:color w:val="000000"/>
    </w:rPr>
  </w:style>
  <w:style w:type="paragraph" w:styleId="Header">
    <w:name w:val="header"/>
    <w:basedOn w:val="Normal"/>
    <w:rsid w:val="00EE6E6F"/>
    <w:pPr>
      <w:tabs>
        <w:tab w:val="center" w:pos="4320"/>
        <w:tab w:val="right" w:pos="8640"/>
      </w:tabs>
    </w:pPr>
  </w:style>
  <w:style w:type="paragraph" w:styleId="Footer">
    <w:name w:val="footer"/>
    <w:basedOn w:val="Normal"/>
    <w:link w:val="FooterChar"/>
    <w:uiPriority w:val="99"/>
    <w:rsid w:val="00EE6E6F"/>
    <w:pPr>
      <w:tabs>
        <w:tab w:val="center" w:pos="4320"/>
        <w:tab w:val="right" w:pos="8640"/>
      </w:tabs>
    </w:pPr>
  </w:style>
  <w:style w:type="paragraph" w:styleId="BalloonText">
    <w:name w:val="Balloon Text"/>
    <w:basedOn w:val="Normal"/>
    <w:semiHidden/>
    <w:rsid w:val="001B44F8"/>
    <w:rPr>
      <w:rFonts w:ascii="Tahoma" w:hAnsi="Tahoma" w:cs="Tahoma"/>
      <w:sz w:val="16"/>
      <w:szCs w:val="16"/>
    </w:rPr>
  </w:style>
  <w:style w:type="character" w:customStyle="1" w:styleId="FooterChar">
    <w:name w:val="Footer Char"/>
    <w:basedOn w:val="DefaultParagraphFont"/>
    <w:link w:val="Footer"/>
    <w:uiPriority w:val="99"/>
    <w:rsid w:val="00A571EB"/>
    <w:rPr>
      <w:rFonts w:ascii="Calibri" w:hAnsi="Calibri"/>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1382</Words>
  <Characters>7814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Preliminary List of Glossary Terms</vt:lpstr>
    </vt:vector>
  </TitlesOfParts>
  <Company>Wyatt Technology Corp.</Company>
  <LinksUpToDate>false</LinksUpToDate>
  <CharactersWithSpaces>9178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List of Glossary Terms</dc:title>
  <dc:subject/>
  <dc:creator>lmadsen</dc:creator>
  <cp:keywords/>
  <dc:description/>
  <cp:lastModifiedBy>Sigrid Kuebler</cp:lastModifiedBy>
  <cp:revision>8</cp:revision>
  <cp:lastPrinted>2007-12-24T19:44:00Z</cp:lastPrinted>
  <dcterms:created xsi:type="dcterms:W3CDTF">2009-01-15T18:45:00Z</dcterms:created>
  <dcterms:modified xsi:type="dcterms:W3CDTF">2011-03-08T21:49:00Z</dcterms:modified>
</cp:coreProperties>
</file>