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0E20" w14:textId="58F03DC4" w:rsidR="00E877CD" w:rsidRDefault="00E877CD" w:rsidP="00DA03F3">
      <w:pPr>
        <w:jc w:val="center"/>
        <w:rPr>
          <w:rFonts w:ascii="Times New Roman" w:hAnsi="Times New Roman" w:cs="Times New Roman"/>
          <w:b/>
        </w:rPr>
      </w:pPr>
      <w:r>
        <w:rPr>
          <w:rFonts w:ascii="Times New Roman" w:hAnsi="Times New Roman" w:cs="Times New Roman"/>
          <w:b/>
        </w:rPr>
        <w:t xml:space="preserve">Homework 14 Thermodynamics Due </w:t>
      </w:r>
      <w:r w:rsidR="005B1BCF">
        <w:rPr>
          <w:rFonts w:ascii="Times New Roman" w:hAnsi="Times New Roman" w:cs="Times New Roman"/>
          <w:b/>
        </w:rPr>
        <w:t>Friday December 9, 2022</w:t>
      </w:r>
    </w:p>
    <w:p w14:paraId="137E7D18" w14:textId="179C218D" w:rsidR="005B1BCF" w:rsidRDefault="005B1BCF" w:rsidP="00DA03F3">
      <w:pPr>
        <w:jc w:val="center"/>
        <w:rPr>
          <w:rFonts w:ascii="Times New Roman" w:hAnsi="Times New Roman" w:cs="Times New Roman"/>
          <w:b/>
        </w:rPr>
      </w:pPr>
      <w:r>
        <w:rPr>
          <w:rFonts w:ascii="Times New Roman" w:hAnsi="Times New Roman" w:cs="Times New Roman"/>
          <w:b/>
        </w:rPr>
        <w:t>(This counts at two Homework)</w:t>
      </w:r>
    </w:p>
    <w:p w14:paraId="32E9A023" w14:textId="77777777" w:rsidR="00E877CD" w:rsidRDefault="00E877CD" w:rsidP="00DA03F3">
      <w:pPr>
        <w:jc w:val="center"/>
        <w:rPr>
          <w:rFonts w:ascii="Times New Roman" w:hAnsi="Times New Roman" w:cs="Times New Roman"/>
          <w:b/>
        </w:rPr>
      </w:pPr>
    </w:p>
    <w:p w14:paraId="781BE0FE" w14:textId="19A39075" w:rsidR="00DA03F3" w:rsidRDefault="00DA03F3" w:rsidP="00DA03F3">
      <w:pPr>
        <w:jc w:val="center"/>
        <w:rPr>
          <w:rFonts w:ascii="Times New Roman" w:hAnsi="Times New Roman" w:cs="Times New Roman"/>
          <w:b/>
        </w:rPr>
      </w:pPr>
      <w:r w:rsidRPr="001A08EA">
        <w:rPr>
          <w:rFonts w:ascii="Times New Roman" w:hAnsi="Times New Roman" w:cs="Times New Roman"/>
          <w:b/>
        </w:rPr>
        <w:t>Thermodynamics Question 1</w:t>
      </w:r>
    </w:p>
    <w:p w14:paraId="75BB4BEC" w14:textId="77777777" w:rsidR="006B499D" w:rsidRPr="001A08EA" w:rsidRDefault="006B499D" w:rsidP="00DA03F3">
      <w:pPr>
        <w:jc w:val="center"/>
        <w:rPr>
          <w:rFonts w:ascii="Times New Roman" w:hAnsi="Times New Roman" w:cs="Times New Roman"/>
          <w:b/>
        </w:rPr>
      </w:pPr>
    </w:p>
    <w:p w14:paraId="609361F0" w14:textId="5E53AFDC" w:rsidR="00DA03F3" w:rsidRDefault="00DA03F3" w:rsidP="00DA03F3">
      <w:pPr>
        <w:pStyle w:val="ListParagraph"/>
        <w:ind w:left="0" w:firstLine="720"/>
        <w:jc w:val="both"/>
        <w:rPr>
          <w:rFonts w:ascii="Times New Roman" w:hAnsi="Times New Roman" w:cs="Times New Roman"/>
        </w:rPr>
      </w:pPr>
      <w:r>
        <w:rPr>
          <w:rFonts w:ascii="Times New Roman" w:hAnsi="Times New Roman" w:cs="Times New Roman"/>
        </w:rPr>
        <w:t xml:space="preserve">One form of the Gibbs-Thompson Equation (GTE) describes the shift in melting point for </w:t>
      </w:r>
      <w:proofErr w:type="gramStart"/>
      <w:r>
        <w:rPr>
          <w:rFonts w:ascii="Times New Roman" w:hAnsi="Times New Roman" w:cs="Times New Roman"/>
        </w:rPr>
        <w:t>nano-crystals</w:t>
      </w:r>
      <w:proofErr w:type="gramEnd"/>
      <w:r>
        <w:rPr>
          <w:rFonts w:ascii="Times New Roman" w:hAnsi="Times New Roman" w:cs="Times New Roman"/>
        </w:rPr>
        <w:t xml:space="preserve"> as a function of their size and can be adapted to describe the shift in melting point for confined fluids such as at an AFM tip as a function of a fluid filled gap’s height, </w:t>
      </w:r>
      <w:r w:rsidRPr="001A43B1">
        <w:rPr>
          <w:rFonts w:ascii="Times New Roman" w:hAnsi="Times New Roman" w:cs="Times New Roman"/>
          <w:i/>
        </w:rPr>
        <w:t>h</w:t>
      </w:r>
      <w:r>
        <w:rPr>
          <w:rFonts w:ascii="Times New Roman" w:hAnsi="Times New Roman" w:cs="Times New Roman"/>
        </w:rPr>
        <w:t xml:space="preserve">, Fig. 2 below. </w:t>
      </w:r>
      <w:proofErr w:type="spellStart"/>
      <w:r>
        <w:rPr>
          <w:rFonts w:ascii="Times New Roman" w:hAnsi="Times New Roman" w:cs="Times New Roman"/>
        </w:rPr>
        <w:t>Scalfi</w:t>
      </w:r>
      <w:proofErr w:type="spellEnd"/>
      <w:r>
        <w:rPr>
          <w:rFonts w:ascii="Times New Roman" w:hAnsi="Times New Roman" w:cs="Times New Roman"/>
        </w:rPr>
        <w:t xml:space="preserve"> L, </w:t>
      </w:r>
      <w:proofErr w:type="spellStart"/>
      <w:r>
        <w:rPr>
          <w:rFonts w:ascii="Times New Roman" w:hAnsi="Times New Roman" w:cs="Times New Roman"/>
        </w:rPr>
        <w:t>Coasne</w:t>
      </w:r>
      <w:proofErr w:type="spellEnd"/>
      <w:r>
        <w:rPr>
          <w:rFonts w:ascii="Times New Roman" w:hAnsi="Times New Roman" w:cs="Times New Roman"/>
        </w:rPr>
        <w:t xml:space="preserve"> B, Rotenberg B, </w:t>
      </w:r>
      <w:r>
        <w:rPr>
          <w:rFonts w:ascii="Times New Roman" w:hAnsi="Times New Roman" w:cs="Times New Roman"/>
          <w:i/>
        </w:rPr>
        <w:t xml:space="preserve">On the Gibbs-Thomson equation for the crystallization of confined fluids. </w:t>
      </w:r>
      <w:r>
        <w:rPr>
          <w:rFonts w:ascii="Times New Roman" w:hAnsi="Times New Roman" w:cs="Times New Roman"/>
        </w:rPr>
        <w:t xml:space="preserve">J. Chem. Phys. </w:t>
      </w:r>
      <w:r>
        <w:rPr>
          <w:rFonts w:ascii="Times New Roman" w:hAnsi="Times New Roman" w:cs="Times New Roman"/>
          <w:b/>
        </w:rPr>
        <w:t>154</w:t>
      </w:r>
      <w:r>
        <w:rPr>
          <w:rFonts w:ascii="Times New Roman" w:hAnsi="Times New Roman" w:cs="Times New Roman"/>
        </w:rPr>
        <w:t xml:space="preserve"> 114711 (2021) present a new derivation of the GTE for confined fluids and use the derivation to simulate crystallization in confined pores and gaps using a Monte Carlo method.  </w:t>
      </w:r>
    </w:p>
    <w:p w14:paraId="11212329" w14:textId="77777777" w:rsidR="00DA03F3" w:rsidRPr="00114B16" w:rsidRDefault="00DA03F3" w:rsidP="00DA03F3">
      <w:pPr>
        <w:pStyle w:val="ListParagraph"/>
        <w:ind w:left="0" w:firstLine="720"/>
        <w:jc w:val="both"/>
        <w:rPr>
          <w:rFonts w:ascii="Times New Roman" w:hAnsi="Times New Roman" w:cs="Times New Roman"/>
        </w:rPr>
      </w:pPr>
    </w:p>
    <w:p w14:paraId="3F4E8FBF" w14:textId="77777777" w:rsidR="00DA03F3" w:rsidRDefault="00DA03F3" w:rsidP="00DA03F3">
      <w:pPr>
        <w:pStyle w:val="ListParagraph"/>
        <w:jc w:val="center"/>
        <w:rPr>
          <w:rFonts w:ascii="Times New Roman" w:hAnsi="Times New Roman" w:cs="Times New Roman"/>
        </w:rPr>
      </w:pPr>
      <w:r w:rsidRPr="00114B16">
        <w:rPr>
          <w:rFonts w:ascii="Times New Roman" w:hAnsi="Times New Roman" w:cs="Times New Roman"/>
          <w:noProof/>
        </w:rPr>
        <w:drawing>
          <wp:inline distT="0" distB="0" distL="0" distR="0" wp14:anchorId="77A5BFA1" wp14:editId="2CB56D4A">
            <wp:extent cx="2634495" cy="1814311"/>
            <wp:effectExtent l="0" t="0" r="0" b="190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5"/>
                    <a:stretch>
                      <a:fillRect/>
                    </a:stretch>
                  </pic:blipFill>
                  <pic:spPr>
                    <a:xfrm>
                      <a:off x="0" y="0"/>
                      <a:ext cx="2644668" cy="1821317"/>
                    </a:xfrm>
                    <a:prstGeom prst="rect">
                      <a:avLst/>
                    </a:prstGeom>
                  </pic:spPr>
                </pic:pic>
              </a:graphicData>
            </a:graphic>
          </wp:inline>
        </w:drawing>
      </w:r>
      <w:r>
        <w:rPr>
          <w:rFonts w:ascii="Times New Roman" w:hAnsi="Times New Roman" w:cs="Times New Roman"/>
        </w:rPr>
        <w:t xml:space="preserve">     </w:t>
      </w:r>
      <w:r w:rsidRPr="00CB3B11">
        <w:rPr>
          <w:rFonts w:ascii="Times New Roman" w:hAnsi="Times New Roman" w:cs="Times New Roman"/>
          <w:noProof/>
        </w:rPr>
        <w:drawing>
          <wp:inline distT="0" distB="0" distL="0" distR="0" wp14:anchorId="472E75A4" wp14:editId="5C63F289">
            <wp:extent cx="2642744" cy="2717000"/>
            <wp:effectExtent l="0" t="0" r="0" b="1270"/>
            <wp:docPr id="17" name="Picture 1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pic:cNvPicPr/>
                  </pic:nvPicPr>
                  <pic:blipFill>
                    <a:blip r:embed="rId6"/>
                    <a:stretch>
                      <a:fillRect/>
                    </a:stretch>
                  </pic:blipFill>
                  <pic:spPr>
                    <a:xfrm>
                      <a:off x="0" y="0"/>
                      <a:ext cx="2657528" cy="2732199"/>
                    </a:xfrm>
                    <a:prstGeom prst="rect">
                      <a:avLst/>
                    </a:prstGeom>
                  </pic:spPr>
                </pic:pic>
              </a:graphicData>
            </a:graphic>
          </wp:inline>
        </w:drawing>
      </w:r>
    </w:p>
    <w:p w14:paraId="43ED6089" w14:textId="77777777" w:rsidR="00DA03F3" w:rsidRDefault="00DA03F3" w:rsidP="00DA03F3">
      <w:pPr>
        <w:pStyle w:val="ListParagraph"/>
        <w:jc w:val="center"/>
        <w:rPr>
          <w:rFonts w:ascii="Times New Roman" w:hAnsi="Times New Roman" w:cs="Times New Roman"/>
        </w:rPr>
      </w:pPr>
    </w:p>
    <w:p w14:paraId="049D52EC" w14:textId="77777777" w:rsidR="00DA03F3" w:rsidRPr="00D92C86" w:rsidRDefault="00DA03F3" w:rsidP="00DA03F3">
      <w:pPr>
        <w:pStyle w:val="ListParagraph"/>
        <w:numPr>
          <w:ilvl w:val="0"/>
          <w:numId w:val="1"/>
        </w:numPr>
        <w:jc w:val="both"/>
        <w:rPr>
          <w:rFonts w:ascii="Times New Roman" w:hAnsi="Times New Roman" w:cs="Times New Roman"/>
        </w:rPr>
      </w:pPr>
      <w:r w:rsidRPr="00D92C86">
        <w:rPr>
          <w:rFonts w:ascii="Times New Roman" w:hAnsi="Times New Roman" w:cs="Times New Roman"/>
        </w:rPr>
        <w:t xml:space="preserve">The normal derivation of the GTE involves simply writing an expression for the Gibbs free energy that includes volumetric and surface terms, considering equilibrium for small particles (spheres) and solving for the particle size.  </w:t>
      </w:r>
      <w:r w:rsidRPr="00DD2665">
        <w:rPr>
          <w:rFonts w:ascii="Times New Roman" w:hAnsi="Times New Roman" w:cs="Times New Roman"/>
          <w:b/>
        </w:rPr>
        <w:t>Derive the GTE</w:t>
      </w:r>
      <w:r w:rsidRPr="00D92C86">
        <w:rPr>
          <w:rFonts w:ascii="Times New Roman" w:hAnsi="Times New Roman" w:cs="Times New Roman"/>
        </w:rPr>
        <w:t xml:space="preserve"> in this way for a planar crystal with infinite width and height </w:t>
      </w:r>
      <w:r w:rsidRPr="00D92C86">
        <w:rPr>
          <w:rFonts w:ascii="Times New Roman" w:hAnsi="Times New Roman" w:cs="Times New Roman"/>
          <w:i/>
        </w:rPr>
        <w:t>H</w:t>
      </w:r>
      <w:r w:rsidRPr="00D92C86">
        <w:rPr>
          <w:rFonts w:ascii="Times New Roman" w:hAnsi="Times New Roman" w:cs="Times New Roman"/>
        </w:rPr>
        <w:t xml:space="preserve"> (</w:t>
      </w:r>
      <w:proofErr w:type="spellStart"/>
      <w:r w:rsidRPr="00D92C86">
        <w:rPr>
          <w:rFonts w:ascii="Times New Roman" w:hAnsi="Times New Roman" w:cs="Times New Roman"/>
        </w:rPr>
        <w:t>Scalfi</w:t>
      </w:r>
      <w:proofErr w:type="spellEnd"/>
      <w:r w:rsidRPr="00D92C86">
        <w:rPr>
          <w:rFonts w:ascii="Times New Roman" w:hAnsi="Times New Roman" w:cs="Times New Roman"/>
        </w:rPr>
        <w:t xml:space="preserve"> uses “</w:t>
      </w:r>
      <w:r w:rsidRPr="00D92C86">
        <w:rPr>
          <w:rFonts w:ascii="Times New Roman" w:hAnsi="Times New Roman" w:cs="Times New Roman"/>
          <w:i/>
        </w:rPr>
        <w:t>h</w:t>
      </w:r>
      <w:r w:rsidRPr="00D92C86">
        <w:rPr>
          <w:rFonts w:ascii="Times New Roman" w:hAnsi="Times New Roman" w:cs="Times New Roman"/>
        </w:rPr>
        <w:t xml:space="preserve">” for the enthalpy per particle).  </w:t>
      </w:r>
      <w:proofErr w:type="spellStart"/>
      <w:r w:rsidRPr="00D92C86">
        <w:rPr>
          <w:rFonts w:ascii="Times New Roman" w:hAnsi="Times New Roman" w:cs="Times New Roman"/>
        </w:rPr>
        <w:t>Scalfi’s</w:t>
      </w:r>
      <w:proofErr w:type="spellEnd"/>
      <w:r w:rsidRPr="00D92C86">
        <w:rPr>
          <w:rFonts w:ascii="Times New Roman" w:hAnsi="Times New Roman" w:cs="Times New Roman"/>
        </w:rPr>
        <w:t xml:space="preserve"> GTE includes two surface energies, that of the liquid and that of the solid.  </w:t>
      </w:r>
      <w:r w:rsidRPr="00DD2665">
        <w:rPr>
          <w:rFonts w:ascii="Times New Roman" w:hAnsi="Times New Roman" w:cs="Times New Roman"/>
          <w:b/>
        </w:rPr>
        <w:t>How do you accommodate this in your derivation</w:t>
      </w:r>
      <w:r w:rsidRPr="00D92C86">
        <w:rPr>
          <w:rFonts w:ascii="Times New Roman" w:hAnsi="Times New Roman" w:cs="Times New Roman"/>
        </w:rPr>
        <w:t>?</w:t>
      </w:r>
    </w:p>
    <w:p w14:paraId="2282D179" w14:textId="77777777" w:rsidR="00DA03F3" w:rsidRPr="00114B16" w:rsidRDefault="00DA03F3" w:rsidP="00DA03F3">
      <w:pPr>
        <w:pStyle w:val="ListParagraph"/>
        <w:jc w:val="center"/>
        <w:rPr>
          <w:rFonts w:ascii="Times New Roman" w:hAnsi="Times New Roman" w:cs="Times New Roman"/>
        </w:rPr>
      </w:pPr>
      <w:r w:rsidRPr="00D92C86">
        <w:rPr>
          <w:rFonts w:ascii="Times New Roman" w:hAnsi="Times New Roman" w:cs="Times New Roman"/>
          <w:noProof/>
        </w:rPr>
        <w:drawing>
          <wp:inline distT="0" distB="0" distL="0" distR="0" wp14:anchorId="015C696F" wp14:editId="51457DDF">
            <wp:extent cx="2564157" cy="369831"/>
            <wp:effectExtent l="0" t="0" r="127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7"/>
                    <a:stretch>
                      <a:fillRect/>
                    </a:stretch>
                  </pic:blipFill>
                  <pic:spPr>
                    <a:xfrm>
                      <a:off x="0" y="0"/>
                      <a:ext cx="2605398" cy="375779"/>
                    </a:xfrm>
                    <a:prstGeom prst="rect">
                      <a:avLst/>
                    </a:prstGeom>
                  </pic:spPr>
                </pic:pic>
              </a:graphicData>
            </a:graphic>
          </wp:inline>
        </w:drawing>
      </w:r>
    </w:p>
    <w:p w14:paraId="0FAAC91B" w14:textId="77777777" w:rsidR="00DA03F3" w:rsidRDefault="00DA03F3" w:rsidP="00DA03F3">
      <w:pPr>
        <w:pStyle w:val="ListParagraph"/>
        <w:numPr>
          <w:ilvl w:val="0"/>
          <w:numId w:val="1"/>
        </w:numPr>
        <w:jc w:val="both"/>
        <w:rPr>
          <w:rFonts w:ascii="Times New Roman" w:hAnsi="Times New Roman" w:cs="Times New Roman"/>
        </w:rPr>
      </w:pPr>
      <w:proofErr w:type="spellStart"/>
      <w:r>
        <w:rPr>
          <w:rFonts w:ascii="Times New Roman" w:hAnsi="Times New Roman" w:cs="Times New Roman"/>
        </w:rPr>
        <w:t>Scalfi</w:t>
      </w:r>
      <w:proofErr w:type="spellEnd"/>
      <w:r>
        <w:rPr>
          <w:rFonts w:ascii="Times New Roman" w:hAnsi="Times New Roman" w:cs="Times New Roman"/>
        </w:rPr>
        <w:t xml:space="preserve"> gives the following thermodynamic potential (2) and internal energy (3) for the fluid/solid between the gap,</w:t>
      </w:r>
    </w:p>
    <w:p w14:paraId="25F1C27D" w14:textId="77777777" w:rsidR="00DA03F3" w:rsidRDefault="00DA03F3" w:rsidP="00DA03F3">
      <w:pPr>
        <w:pStyle w:val="ListParagraph"/>
        <w:rPr>
          <w:rFonts w:ascii="Times New Roman" w:hAnsi="Times New Roman" w:cs="Times New Roman"/>
        </w:rPr>
      </w:pPr>
      <w:r w:rsidRPr="00FA456C">
        <w:rPr>
          <w:rFonts w:ascii="Times New Roman" w:hAnsi="Times New Roman" w:cs="Times New Roman"/>
          <w:noProof/>
        </w:rPr>
        <w:drawing>
          <wp:inline distT="0" distB="0" distL="0" distR="0" wp14:anchorId="71FAB6D7" wp14:editId="3A4551D0">
            <wp:extent cx="2576946" cy="20125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77591" cy="209115"/>
                    </a:xfrm>
                    <a:prstGeom prst="rect">
                      <a:avLst/>
                    </a:prstGeom>
                  </pic:spPr>
                </pic:pic>
              </a:graphicData>
            </a:graphic>
          </wp:inline>
        </w:drawing>
      </w:r>
    </w:p>
    <w:p w14:paraId="46BEF94C" w14:textId="77777777" w:rsidR="00DA03F3" w:rsidRDefault="00DA03F3" w:rsidP="00DA03F3">
      <w:pPr>
        <w:pStyle w:val="ListParagraph"/>
        <w:rPr>
          <w:rFonts w:ascii="Times New Roman" w:hAnsi="Times New Roman" w:cs="Times New Roman"/>
        </w:rPr>
      </w:pPr>
      <w:r w:rsidRPr="00FA456C">
        <w:rPr>
          <w:rFonts w:ascii="Times New Roman" w:hAnsi="Times New Roman" w:cs="Times New Roman"/>
          <w:noProof/>
        </w:rPr>
        <w:drawing>
          <wp:inline distT="0" distB="0" distL="0" distR="0" wp14:anchorId="10606E35" wp14:editId="5E70B255">
            <wp:extent cx="2576830" cy="20455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76919" cy="212495"/>
                    </a:xfrm>
                    <a:prstGeom prst="rect">
                      <a:avLst/>
                    </a:prstGeom>
                  </pic:spPr>
                </pic:pic>
              </a:graphicData>
            </a:graphic>
          </wp:inline>
        </w:drawing>
      </w:r>
    </w:p>
    <w:p w14:paraId="276EA1D1" w14:textId="77777777" w:rsidR="00DA03F3" w:rsidRDefault="00DA03F3" w:rsidP="00DA03F3">
      <w:pPr>
        <w:pStyle w:val="ListParagraph"/>
        <w:jc w:val="both"/>
        <w:rPr>
          <w:rFonts w:ascii="Times New Roman" w:hAnsi="Times New Roman" w:cs="Times New Roman"/>
        </w:rPr>
      </w:pPr>
      <w:r>
        <w:rPr>
          <w:rFonts w:ascii="Times New Roman" w:hAnsi="Times New Roman" w:cs="Times New Roman"/>
        </w:rPr>
        <w:t xml:space="preserve">Use the thermodynamic square or other means to </w:t>
      </w:r>
      <w:r w:rsidRPr="00DD2665">
        <w:rPr>
          <w:rFonts w:ascii="Times New Roman" w:hAnsi="Times New Roman" w:cs="Times New Roman"/>
          <w:b/>
        </w:rPr>
        <w:t>explain the origin of these two expressions</w:t>
      </w:r>
      <w:r>
        <w:rPr>
          <w:rFonts w:ascii="Times New Roman" w:hAnsi="Times New Roman" w:cs="Times New Roman"/>
        </w:rPr>
        <w:t xml:space="preserve">.  </w:t>
      </w:r>
      <w:r w:rsidRPr="00DD2665">
        <w:rPr>
          <w:rFonts w:ascii="Times New Roman" w:hAnsi="Times New Roman" w:cs="Times New Roman"/>
          <w:b/>
        </w:rPr>
        <w:t>What kind of free energy</w:t>
      </w:r>
      <w:r>
        <w:rPr>
          <w:rFonts w:ascii="Times New Roman" w:hAnsi="Times New Roman" w:cs="Times New Roman"/>
        </w:rPr>
        <w:t xml:space="preserve"> is </w:t>
      </w:r>
      <w:r>
        <w:rPr>
          <w:rFonts w:ascii="Symbol" w:hAnsi="Symbol" w:cs="Times New Roman"/>
          <w:i/>
        </w:rPr>
        <w:t></w:t>
      </w:r>
      <w:r>
        <w:rPr>
          <w:rFonts w:ascii="Symbol" w:hAnsi="Symbol" w:cs="Times New Roman"/>
          <w:i/>
        </w:rPr>
        <w:t></w:t>
      </w:r>
      <w:r>
        <w:rPr>
          <w:rFonts w:ascii="Times New Roman" w:hAnsi="Times New Roman" w:cs="Times New Roman"/>
        </w:rPr>
        <w:t>?</w:t>
      </w:r>
    </w:p>
    <w:p w14:paraId="5A429429" w14:textId="77777777" w:rsidR="00DA03F3" w:rsidRDefault="00DA03F3" w:rsidP="00DA03F3">
      <w:pPr>
        <w:pStyle w:val="ListParagraph"/>
        <w:numPr>
          <w:ilvl w:val="0"/>
          <w:numId w:val="1"/>
        </w:numPr>
        <w:jc w:val="both"/>
        <w:rPr>
          <w:rFonts w:ascii="Times New Roman" w:hAnsi="Times New Roman" w:cs="Times New Roman"/>
        </w:rPr>
      </w:pPr>
      <w:r>
        <w:rPr>
          <w:rFonts w:ascii="Times New Roman" w:hAnsi="Times New Roman" w:cs="Times New Roman"/>
        </w:rPr>
        <w:lastRenderedPageBreak/>
        <w:t xml:space="preserve">The son of Herman von Helmholtz (Robert von </w:t>
      </w:r>
      <w:proofErr w:type="spellStart"/>
      <w:r>
        <w:rPr>
          <w:rFonts w:ascii="Times New Roman" w:hAnsi="Times New Roman" w:cs="Times New Roman"/>
        </w:rPr>
        <w:t>Helmholz</w:t>
      </w:r>
      <w:proofErr w:type="spellEnd"/>
      <w:r>
        <w:rPr>
          <w:rFonts w:ascii="Times New Roman" w:hAnsi="Times New Roman" w:cs="Times New Roman"/>
        </w:rPr>
        <w:t xml:space="preserve">) derived the Gibbs-Thompson equation from the Oswald-Freundlich Equation (OFE) using the integrated Clausius-Clapeyron Equation (CCE) for his PhD dissertation in 1885 (things were simpler then).  </w:t>
      </w:r>
    </w:p>
    <w:p w14:paraId="473ABC71" w14:textId="77777777" w:rsidR="00DA03F3" w:rsidRDefault="00DA03F3" w:rsidP="00DA03F3">
      <w:pPr>
        <w:pStyle w:val="ListParagraph"/>
        <w:rPr>
          <w:rFonts w:ascii="Times New Roman" w:hAnsi="Times New Roman" w:cs="Times New Roman"/>
        </w:rPr>
      </w:pPr>
      <w:r w:rsidRPr="000A023E">
        <w:rPr>
          <w:rFonts w:ascii="Times New Roman" w:hAnsi="Times New Roman" w:cs="Times New Roman"/>
          <w:noProof/>
        </w:rPr>
        <w:drawing>
          <wp:inline distT="0" distB="0" distL="0" distR="0" wp14:anchorId="247640DF" wp14:editId="67A36441">
            <wp:extent cx="908006" cy="276790"/>
            <wp:effectExtent l="0" t="0" r="0" b="3175"/>
            <wp:docPr id="15" name="Picture 1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with medium confidence"/>
                    <pic:cNvPicPr/>
                  </pic:nvPicPr>
                  <pic:blipFill>
                    <a:blip r:embed="rId10"/>
                    <a:stretch>
                      <a:fillRect/>
                    </a:stretch>
                  </pic:blipFill>
                  <pic:spPr>
                    <a:xfrm>
                      <a:off x="0" y="0"/>
                      <a:ext cx="931421" cy="283928"/>
                    </a:xfrm>
                    <a:prstGeom prst="rect">
                      <a:avLst/>
                    </a:prstGeom>
                  </pic:spPr>
                </pic:pic>
              </a:graphicData>
            </a:graphic>
          </wp:inline>
        </w:drawing>
      </w:r>
      <w:r>
        <w:rPr>
          <w:rFonts w:ascii="Times New Roman" w:hAnsi="Times New Roman" w:cs="Times New Roman"/>
        </w:rPr>
        <w:t xml:space="preserve">      OFE</w:t>
      </w:r>
    </w:p>
    <w:p w14:paraId="335C02D5" w14:textId="77777777" w:rsidR="00DA03F3" w:rsidRDefault="00DA03F3" w:rsidP="00DA03F3">
      <w:pPr>
        <w:pStyle w:val="ListParagraph"/>
        <w:rPr>
          <w:rFonts w:ascii="Times New Roman" w:hAnsi="Times New Roman" w:cs="Times New Roman"/>
        </w:rPr>
      </w:pPr>
      <w:r w:rsidRPr="000A023E">
        <w:rPr>
          <w:rFonts w:ascii="Times New Roman" w:hAnsi="Times New Roman" w:cs="Times New Roman"/>
          <w:noProof/>
        </w:rPr>
        <w:drawing>
          <wp:inline distT="0" distB="0" distL="0" distR="0" wp14:anchorId="024A0921" wp14:editId="6D4CDF99">
            <wp:extent cx="490012" cy="249381"/>
            <wp:effectExtent l="0" t="0" r="5715" b="508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11"/>
                    <a:stretch>
                      <a:fillRect/>
                    </a:stretch>
                  </pic:blipFill>
                  <pic:spPr>
                    <a:xfrm>
                      <a:off x="0" y="0"/>
                      <a:ext cx="520924" cy="265113"/>
                    </a:xfrm>
                    <a:prstGeom prst="rect">
                      <a:avLst/>
                    </a:prstGeom>
                  </pic:spPr>
                </pic:pic>
              </a:graphicData>
            </a:graphic>
          </wp:inline>
        </w:drawing>
      </w:r>
      <w:r>
        <w:rPr>
          <w:rFonts w:ascii="Times New Roman" w:hAnsi="Times New Roman" w:cs="Times New Roman"/>
        </w:rPr>
        <w:t xml:space="preserve">                 CCE</w:t>
      </w:r>
    </w:p>
    <w:p w14:paraId="6BE57FAA" w14:textId="4B8E60A4" w:rsidR="00DA03F3" w:rsidRDefault="00DA03F3" w:rsidP="00DA03F3">
      <w:pPr>
        <w:pStyle w:val="ListParagraph"/>
        <w:jc w:val="both"/>
        <w:rPr>
          <w:rFonts w:ascii="Times New Roman" w:hAnsi="Times New Roman" w:cs="Times New Roman"/>
        </w:rPr>
      </w:pPr>
      <w:r>
        <w:rPr>
          <w:rFonts w:ascii="Times New Roman" w:hAnsi="Times New Roman" w:cs="Times New Roman"/>
        </w:rPr>
        <w:t xml:space="preserve">For this reason, the OFE or Kelvin Equation is sometimes referred to as the GTE.  </w:t>
      </w:r>
      <w:r w:rsidRPr="005C31DF">
        <w:rPr>
          <w:rFonts w:ascii="Times New Roman" w:hAnsi="Times New Roman" w:cs="Times New Roman"/>
          <w:b/>
        </w:rPr>
        <w:t>Obtain the GTE from the OFE using the integrated CCE. Also, give</w:t>
      </w:r>
      <w:r>
        <w:rPr>
          <w:rFonts w:ascii="Times New Roman" w:hAnsi="Times New Roman" w:cs="Times New Roman"/>
          <w:b/>
        </w:rPr>
        <w:t xml:space="preserve"> (don’t derive)</w:t>
      </w:r>
      <w:r w:rsidRPr="005C31DF">
        <w:rPr>
          <w:rFonts w:ascii="Times New Roman" w:hAnsi="Times New Roman" w:cs="Times New Roman"/>
          <w:b/>
        </w:rPr>
        <w:t xml:space="preserve"> the Ostwald-Freundlich Equation</w:t>
      </w:r>
      <w:r>
        <w:rPr>
          <w:rFonts w:ascii="Times New Roman" w:hAnsi="Times New Roman" w:cs="Times New Roman"/>
        </w:rPr>
        <w:t xml:space="preserve"> which describes the relationship between the supersaturated mole fraction, </w:t>
      </w:r>
      <w:r w:rsidRPr="005C31DF">
        <w:rPr>
          <w:rFonts w:ascii="Times New Roman" w:hAnsi="Times New Roman" w:cs="Times New Roman"/>
          <w:i/>
        </w:rPr>
        <w:t>x</w:t>
      </w:r>
      <w:r>
        <w:rPr>
          <w:rFonts w:ascii="Times New Roman" w:hAnsi="Times New Roman" w:cs="Times New Roman"/>
        </w:rPr>
        <w:t xml:space="preserve">, and nanoparticle size, </w:t>
      </w:r>
      <w:r w:rsidRPr="005C31DF">
        <w:rPr>
          <w:rFonts w:ascii="Times New Roman" w:hAnsi="Times New Roman" w:cs="Times New Roman"/>
          <w:i/>
        </w:rPr>
        <w:t>r</w:t>
      </w:r>
      <w:r>
        <w:rPr>
          <w:rFonts w:ascii="Times New Roman" w:hAnsi="Times New Roman" w:cs="Times New Roman"/>
        </w:rPr>
        <w:t xml:space="preserve">, for crystallization from solution. </w:t>
      </w:r>
    </w:p>
    <w:p w14:paraId="5E5F983D" w14:textId="0A015043" w:rsidR="00DA03F3" w:rsidRDefault="00DA03F3" w:rsidP="00DA03F3">
      <w:pPr>
        <w:pStyle w:val="ListParagraph"/>
        <w:numPr>
          <w:ilvl w:val="0"/>
          <w:numId w:val="1"/>
        </w:numPr>
        <w:jc w:val="both"/>
        <w:rPr>
          <w:rFonts w:ascii="Times New Roman" w:hAnsi="Times New Roman" w:cs="Times New Roman"/>
        </w:rPr>
      </w:pPr>
      <w:proofErr w:type="spellStart"/>
      <w:r>
        <w:rPr>
          <w:rFonts w:ascii="Times New Roman" w:hAnsi="Times New Roman" w:cs="Times New Roman"/>
        </w:rPr>
        <w:t>Scalfi</w:t>
      </w:r>
      <w:proofErr w:type="spellEnd"/>
      <w:r>
        <w:rPr>
          <w:rFonts w:ascii="Times New Roman" w:hAnsi="Times New Roman" w:cs="Times New Roman"/>
        </w:rPr>
        <w:t xml:space="preserve"> used Monte Carlo Simulations with the Metropolis method to determine the melting point, Figure 9 where </w:t>
      </w:r>
      <w:r w:rsidRPr="00C856B8">
        <w:rPr>
          <w:rFonts w:ascii="Times New Roman" w:hAnsi="Times New Roman" w:cs="Times New Roman"/>
          <w:i/>
        </w:rPr>
        <w:t>N</w:t>
      </w:r>
      <w:r>
        <w:rPr>
          <w:rFonts w:ascii="Times New Roman" w:hAnsi="Times New Roman" w:cs="Times New Roman"/>
        </w:rPr>
        <w:t xml:space="preserve"> is the density and </w:t>
      </w:r>
      <w:r w:rsidRPr="00C856B8">
        <w:rPr>
          <w:rFonts w:ascii="Times New Roman" w:hAnsi="Times New Roman" w:cs="Times New Roman"/>
          <w:i/>
        </w:rPr>
        <w:t>T</w:t>
      </w:r>
      <w:r w:rsidRPr="00C856B8">
        <w:rPr>
          <w:rFonts w:ascii="Times New Roman" w:hAnsi="Times New Roman" w:cs="Times New Roman"/>
          <w:vertAlign w:val="superscript"/>
        </w:rPr>
        <w:t>*</w:t>
      </w:r>
      <w:r>
        <w:rPr>
          <w:rFonts w:ascii="Times New Roman" w:hAnsi="Times New Roman" w:cs="Times New Roman"/>
        </w:rPr>
        <w:t xml:space="preserve"> is a reduced temperature.  He used a 6-12 potential with a cutoff of 2.5 </w:t>
      </w:r>
      <w:r w:rsidRPr="00C856B8">
        <w:rPr>
          <w:rFonts w:ascii="Symbol" w:hAnsi="Symbol" w:cs="Times New Roman"/>
          <w:i/>
        </w:rPr>
        <w:t></w:t>
      </w:r>
      <w:r>
        <w:rPr>
          <w:rFonts w:ascii="Times New Roman" w:hAnsi="Times New Roman" w:cs="Times New Roman"/>
        </w:rPr>
        <w:t xml:space="preserve"> where </w:t>
      </w:r>
      <w:r w:rsidRPr="00C856B8">
        <w:rPr>
          <w:rFonts w:ascii="Symbol" w:hAnsi="Symbol" w:cs="Times New Roman"/>
          <w:i/>
        </w:rPr>
        <w:t></w:t>
      </w:r>
      <w:r>
        <w:rPr>
          <w:rFonts w:ascii="Times New Roman" w:hAnsi="Times New Roman" w:cs="Times New Roman"/>
        </w:rPr>
        <w:t xml:space="preserve"> is the atomic size. Monte Carlo steps involved translation, </w:t>
      </w:r>
      <w:proofErr w:type="gramStart"/>
      <w:r>
        <w:rPr>
          <w:rFonts w:ascii="Times New Roman" w:hAnsi="Times New Roman" w:cs="Times New Roman"/>
        </w:rPr>
        <w:t>deletion</w:t>
      </w:r>
      <w:proofErr w:type="gramEnd"/>
      <w:r>
        <w:rPr>
          <w:rFonts w:ascii="Times New Roman" w:hAnsi="Times New Roman" w:cs="Times New Roman"/>
        </w:rPr>
        <w:t xml:space="preserve"> or insertion. The starting state could be liquid or crystal structures and resulted in the densities shown in Figure 9.  </w:t>
      </w:r>
      <w:r w:rsidRPr="00DD2665">
        <w:rPr>
          <w:rFonts w:ascii="Times New Roman" w:hAnsi="Times New Roman" w:cs="Times New Roman"/>
          <w:b/>
        </w:rPr>
        <w:t>Give an algorithm</w:t>
      </w:r>
      <w:r>
        <w:rPr>
          <w:rFonts w:ascii="Times New Roman" w:hAnsi="Times New Roman" w:cs="Times New Roman"/>
        </w:rPr>
        <w:t xml:space="preserve"> for a typical Metropolis simulation of this type. </w:t>
      </w:r>
      <w:r w:rsidRPr="00DD2665">
        <w:rPr>
          <w:rFonts w:ascii="Times New Roman" w:hAnsi="Times New Roman" w:cs="Times New Roman"/>
          <w:b/>
        </w:rPr>
        <w:t>How would you determine</w:t>
      </w:r>
      <w:r>
        <w:rPr>
          <w:rFonts w:ascii="Times New Roman" w:hAnsi="Times New Roman" w:cs="Times New Roman"/>
        </w:rPr>
        <w:t xml:space="preserve"> if the simulation had reached equilibrium?</w:t>
      </w:r>
    </w:p>
    <w:p w14:paraId="14604331" w14:textId="6F70C19A" w:rsidR="00DA03F3" w:rsidRDefault="00DA03F3" w:rsidP="00DA03F3">
      <w:pPr>
        <w:pStyle w:val="ListParagraph"/>
        <w:numPr>
          <w:ilvl w:val="0"/>
          <w:numId w:val="1"/>
        </w:numPr>
        <w:jc w:val="both"/>
        <w:rPr>
          <w:rFonts w:ascii="Times New Roman" w:hAnsi="Times New Roman" w:cs="Times New Roman"/>
        </w:rPr>
      </w:pPr>
      <w:r>
        <w:rPr>
          <w:rFonts w:ascii="Times New Roman" w:hAnsi="Times New Roman" w:cs="Times New Roman"/>
        </w:rPr>
        <w:t xml:space="preserve">In Figure 9 </w:t>
      </w:r>
      <w:proofErr w:type="spellStart"/>
      <w:r>
        <w:rPr>
          <w:rFonts w:ascii="Times New Roman" w:hAnsi="Times New Roman" w:cs="Times New Roman"/>
        </w:rPr>
        <w:t>Scalfi</w:t>
      </w:r>
      <w:proofErr w:type="spellEnd"/>
      <w:r>
        <w:rPr>
          <w:rFonts w:ascii="Times New Roman" w:hAnsi="Times New Roman" w:cs="Times New Roman"/>
        </w:rPr>
        <w:t xml:space="preserve"> shows that the crystalline structure exists at the interface with the AFM tip and the stage (which is the same material in the simulation) even in the (bulk) amorphous state (lower structure). Derive expressions comparing the </w:t>
      </w:r>
      <w:r w:rsidRPr="0009295C">
        <w:rPr>
          <w:rFonts w:ascii="Times New Roman" w:hAnsi="Times New Roman" w:cs="Times New Roman"/>
          <w:b/>
        </w:rPr>
        <w:t>free energy barrier</w:t>
      </w:r>
      <w:r>
        <w:rPr>
          <w:rFonts w:ascii="Times New Roman" w:hAnsi="Times New Roman" w:cs="Times New Roman"/>
          <w:b/>
        </w:rPr>
        <w:t>,</w:t>
      </w:r>
      <w:r>
        <w:rPr>
          <w:rFonts w:ascii="Times New Roman" w:hAnsi="Times New Roman" w:cs="Times New Roman"/>
        </w:rPr>
        <w:t xml:space="preserve"> </w:t>
      </w:r>
      <w:r w:rsidRPr="0009295C">
        <w:rPr>
          <w:rFonts w:ascii="Symbol" w:hAnsi="Symbol" w:cs="Times New Roman"/>
          <w:i/>
        </w:rPr>
        <w:t></w:t>
      </w:r>
      <w:r w:rsidRPr="0009295C">
        <w:rPr>
          <w:rFonts w:ascii="Times New Roman" w:hAnsi="Times New Roman" w:cs="Times New Roman"/>
          <w:i/>
        </w:rPr>
        <w:t>G</w:t>
      </w:r>
      <w:r w:rsidRPr="0009295C">
        <w:rPr>
          <w:rFonts w:ascii="Times New Roman" w:hAnsi="Times New Roman" w:cs="Times New Roman"/>
          <w:b/>
          <w:i/>
          <w:vertAlign w:val="superscript"/>
        </w:rPr>
        <w:t>*</w:t>
      </w:r>
      <w:r w:rsidRPr="0009295C">
        <w:rPr>
          <w:rFonts w:ascii="Times New Roman" w:hAnsi="Times New Roman" w:cs="Times New Roman"/>
          <w:b/>
        </w:rPr>
        <w:t>, and phase size,</w:t>
      </w:r>
      <w:r>
        <w:rPr>
          <w:rFonts w:ascii="Times New Roman" w:hAnsi="Times New Roman" w:cs="Times New Roman"/>
        </w:rPr>
        <w:t xml:space="preserve"> </w:t>
      </w:r>
      <w:r w:rsidRPr="0009295C">
        <w:rPr>
          <w:rFonts w:ascii="Times New Roman" w:hAnsi="Times New Roman" w:cs="Times New Roman"/>
          <w:b/>
          <w:i/>
        </w:rPr>
        <w:t>r*</w:t>
      </w:r>
      <w:r>
        <w:rPr>
          <w:rFonts w:ascii="Times New Roman" w:hAnsi="Times New Roman" w:cs="Times New Roman"/>
        </w:rPr>
        <w:t>, for surface (heterogeneous) and bulk (homogeneous nucleation).  Can this explain the observed behavior?</w:t>
      </w:r>
    </w:p>
    <w:p w14:paraId="4BFE58E9" w14:textId="77777777" w:rsidR="00DA03F3" w:rsidRPr="005C31DF" w:rsidRDefault="00DA03F3" w:rsidP="00DA03F3">
      <w:pPr>
        <w:rPr>
          <w:rFonts w:ascii="Times New Roman" w:hAnsi="Times New Roman" w:cs="Times New Roman"/>
        </w:rPr>
      </w:pPr>
    </w:p>
    <w:p w14:paraId="65D854E6" w14:textId="77777777" w:rsidR="00DA03F3" w:rsidRPr="006F58FD" w:rsidRDefault="00DA03F3" w:rsidP="00DA03F3">
      <w:pPr>
        <w:pageBreakBefore/>
        <w:jc w:val="center"/>
        <w:rPr>
          <w:rFonts w:ascii="Times New Roman" w:hAnsi="Times New Roman" w:cs="Times New Roman"/>
          <w:b/>
        </w:rPr>
      </w:pPr>
      <w:r w:rsidRPr="006F58FD">
        <w:rPr>
          <w:rFonts w:ascii="Times New Roman" w:hAnsi="Times New Roman" w:cs="Times New Roman"/>
          <w:b/>
        </w:rPr>
        <w:lastRenderedPageBreak/>
        <w:t>Thermodynamics Question 2</w:t>
      </w:r>
    </w:p>
    <w:p w14:paraId="373DF803" w14:textId="77777777" w:rsidR="00DA03F3" w:rsidRPr="006F58FD" w:rsidRDefault="00DA03F3" w:rsidP="00DA03F3">
      <w:pPr>
        <w:pStyle w:val="ListParagraph"/>
        <w:spacing w:after="0"/>
        <w:ind w:left="0"/>
        <w:jc w:val="both"/>
        <w:rPr>
          <w:rFonts w:ascii="Times New Roman" w:hAnsi="Times New Roman" w:cs="Times New Roman"/>
        </w:rPr>
      </w:pPr>
    </w:p>
    <w:p w14:paraId="11351D83" w14:textId="02A2913A" w:rsidR="00A44CBC" w:rsidRDefault="00DA03F3" w:rsidP="00DA03F3">
      <w:pPr>
        <w:jc w:val="both"/>
        <w:rPr>
          <w:rFonts w:ascii="Times New Roman" w:hAnsi="Times New Roman" w:cs="Times New Roman"/>
        </w:rPr>
      </w:pPr>
      <w:r>
        <w:rPr>
          <w:rFonts w:ascii="Times New Roman" w:hAnsi="Times New Roman" w:cs="Times New Roman"/>
        </w:rPr>
        <w:t xml:space="preserve">Choi J-M, </w:t>
      </w:r>
      <w:proofErr w:type="spellStart"/>
      <w:r>
        <w:rPr>
          <w:rFonts w:ascii="Times New Roman" w:hAnsi="Times New Roman" w:cs="Times New Roman"/>
        </w:rPr>
        <w:t>Holehouse</w:t>
      </w:r>
      <w:proofErr w:type="spellEnd"/>
      <w:r>
        <w:rPr>
          <w:rFonts w:ascii="Times New Roman" w:hAnsi="Times New Roman" w:cs="Times New Roman"/>
        </w:rPr>
        <w:t xml:space="preserve"> AS, </w:t>
      </w:r>
      <w:proofErr w:type="spellStart"/>
      <w:r>
        <w:rPr>
          <w:rFonts w:ascii="Times New Roman" w:hAnsi="Times New Roman" w:cs="Times New Roman"/>
        </w:rPr>
        <w:t>Pappu</w:t>
      </w:r>
      <w:proofErr w:type="spellEnd"/>
      <w:r>
        <w:rPr>
          <w:rFonts w:ascii="Times New Roman" w:hAnsi="Times New Roman" w:cs="Times New Roman"/>
        </w:rPr>
        <w:t xml:space="preserve"> RV </w:t>
      </w:r>
      <w:r>
        <w:rPr>
          <w:rFonts w:ascii="Times New Roman" w:hAnsi="Times New Roman" w:cs="Times New Roman"/>
          <w:i/>
          <w:iCs/>
        </w:rPr>
        <w:t xml:space="preserve">Physical Principles Underlying the Complex Biology of Intracellular Phase Transitions </w:t>
      </w:r>
      <w:r>
        <w:rPr>
          <w:rFonts w:ascii="Times New Roman" w:hAnsi="Times New Roman" w:cs="Times New Roman"/>
        </w:rPr>
        <w:t xml:space="preserve">Ann. Rev. </w:t>
      </w:r>
      <w:proofErr w:type="spellStart"/>
      <w:r>
        <w:rPr>
          <w:rFonts w:ascii="Times New Roman" w:hAnsi="Times New Roman" w:cs="Times New Roman"/>
        </w:rPr>
        <w:t>Biophy</w:t>
      </w:r>
      <w:proofErr w:type="spellEnd"/>
      <w:r>
        <w:rPr>
          <w:rFonts w:ascii="Times New Roman" w:hAnsi="Times New Roman" w:cs="Times New Roman"/>
        </w:rPr>
        <w:t xml:space="preserve">. </w:t>
      </w:r>
      <w:r>
        <w:rPr>
          <w:rFonts w:ascii="Times New Roman" w:hAnsi="Times New Roman" w:cs="Times New Roman"/>
          <w:b/>
          <w:bCs/>
        </w:rPr>
        <w:t xml:space="preserve">49 </w:t>
      </w:r>
      <w:r>
        <w:rPr>
          <w:rFonts w:ascii="Times New Roman" w:hAnsi="Times New Roman" w:cs="Times New Roman"/>
        </w:rPr>
        <w:t>107-133 (2020) discuss phase separation in cellular biology.  Choi’s discussion is largely based on the Flory-Huggins mean-field, regular-solution model. They include some aspects of “stickers”</w:t>
      </w:r>
      <w:proofErr w:type="gramStart"/>
      <w:r>
        <w:rPr>
          <w:rFonts w:ascii="Times New Roman" w:hAnsi="Times New Roman" w:cs="Times New Roman"/>
        </w:rPr>
        <w:t>, ”spacers</w:t>
      </w:r>
      <w:proofErr w:type="gramEnd"/>
      <w:r>
        <w:rPr>
          <w:rFonts w:ascii="Times New Roman" w:hAnsi="Times New Roman" w:cs="Times New Roman"/>
        </w:rPr>
        <w:t xml:space="preserve">”, and ”linkers” that can be used to describe complex folding phenomena.  </w:t>
      </w:r>
    </w:p>
    <w:p w14:paraId="31AA2182" w14:textId="66D43DFC" w:rsidR="00DA03F3" w:rsidRDefault="00DA03F3" w:rsidP="00DA03F3">
      <w:pPr>
        <w:jc w:val="both"/>
        <w:rPr>
          <w:rFonts w:ascii="Times New Roman" w:hAnsi="Times New Roman" w:cs="Times New Roman"/>
        </w:rPr>
      </w:pPr>
    </w:p>
    <w:p w14:paraId="775AE182" w14:textId="5C2DD3B8" w:rsidR="00DA03F3" w:rsidRDefault="006A0DA7" w:rsidP="00DA03F3">
      <w:pPr>
        <w:pStyle w:val="ListParagraph"/>
        <w:numPr>
          <w:ilvl w:val="0"/>
          <w:numId w:val="2"/>
        </w:numPr>
        <w:jc w:val="both"/>
        <w:rPr>
          <w:rFonts w:ascii="Times New Roman" w:hAnsi="Times New Roman" w:cs="Times New Roman"/>
        </w:rPr>
      </w:pPr>
      <w:r>
        <w:rPr>
          <w:rFonts w:ascii="Times New Roman" w:hAnsi="Times New Roman" w:cs="Times New Roman"/>
        </w:rPr>
        <w:t>Choi gives the following definition of the Flory-Huggins chi-parameter,</w:t>
      </w:r>
    </w:p>
    <w:p w14:paraId="170629D3" w14:textId="3AFA5029" w:rsidR="006A0DA7" w:rsidRDefault="006A0DA7" w:rsidP="006A0DA7">
      <w:pPr>
        <w:jc w:val="center"/>
        <w:rPr>
          <w:rFonts w:ascii="Times New Roman" w:hAnsi="Times New Roman" w:cs="Times New Roman"/>
        </w:rPr>
      </w:pPr>
      <w:r w:rsidRPr="006A0DA7">
        <w:rPr>
          <w:rFonts w:ascii="Times New Roman" w:hAnsi="Times New Roman" w:cs="Times New Roman"/>
        </w:rPr>
        <w:drawing>
          <wp:inline distT="0" distB="0" distL="0" distR="0" wp14:anchorId="2FE20512" wp14:editId="0CE944A8">
            <wp:extent cx="2565400" cy="78740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2"/>
                    <a:stretch>
                      <a:fillRect/>
                    </a:stretch>
                  </pic:blipFill>
                  <pic:spPr>
                    <a:xfrm>
                      <a:off x="0" y="0"/>
                      <a:ext cx="2565400" cy="787400"/>
                    </a:xfrm>
                    <a:prstGeom prst="rect">
                      <a:avLst/>
                    </a:prstGeom>
                  </pic:spPr>
                </pic:pic>
              </a:graphicData>
            </a:graphic>
          </wp:inline>
        </w:drawing>
      </w:r>
    </w:p>
    <w:p w14:paraId="574BB756" w14:textId="02DFFE98" w:rsidR="006A0DA7" w:rsidRDefault="006A0DA7" w:rsidP="006A0DA7">
      <w:pPr>
        <w:ind w:left="720"/>
        <w:jc w:val="both"/>
        <w:rPr>
          <w:rFonts w:ascii="Times New Roman" w:hAnsi="Times New Roman" w:cs="Times New Roman"/>
        </w:rPr>
      </w:pPr>
      <w:r>
        <w:rPr>
          <w:rFonts w:ascii="Times New Roman" w:hAnsi="Times New Roman" w:cs="Times New Roman"/>
        </w:rPr>
        <w:t>He further states:</w:t>
      </w:r>
    </w:p>
    <w:p w14:paraId="3DD1BD24" w14:textId="59D5AECE" w:rsidR="006A0DA7" w:rsidRDefault="006A0DA7" w:rsidP="006A0DA7">
      <w:pPr>
        <w:ind w:left="1440" w:right="720"/>
        <w:jc w:val="both"/>
        <w:rPr>
          <w:rFonts w:ascii="Times New Roman" w:hAnsi="Times New Roman" w:cs="Times New Roman"/>
        </w:rPr>
      </w:pPr>
      <w:r>
        <w:rPr>
          <w:rFonts w:ascii="Times New Roman" w:hAnsi="Times New Roman" w:cs="Times New Roman"/>
        </w:rPr>
        <w:t>“</w:t>
      </w:r>
      <w:r w:rsidRPr="006A0DA7">
        <w:rPr>
          <w:rFonts w:ascii="Times New Roman" w:hAnsi="Times New Roman" w:cs="Times New Roman"/>
          <w:i/>
          <w:iCs/>
        </w:rPr>
        <w:t xml:space="preserve">In a theta solvent, also known as an indifferent solvent, </w:t>
      </w:r>
      <w:proofErr w:type="spellStart"/>
      <w:r w:rsidRPr="006A0DA7">
        <w:rPr>
          <w:rFonts w:ascii="Times New Roman" w:hAnsi="Times New Roman" w:cs="Times New Roman"/>
          <w:i/>
          <w:iCs/>
        </w:rPr>
        <w:t>χ</w:t>
      </w:r>
      <w:r w:rsidRPr="006A0DA7">
        <w:rPr>
          <w:rFonts w:ascii="Times New Roman" w:hAnsi="Times New Roman" w:cs="Times New Roman"/>
          <w:i/>
          <w:iCs/>
          <w:vertAlign w:val="subscript"/>
        </w:rPr>
        <w:t>ps</w:t>
      </w:r>
      <w:proofErr w:type="spellEnd"/>
      <w:r w:rsidRPr="006A0DA7">
        <w:rPr>
          <w:rFonts w:ascii="Times New Roman" w:hAnsi="Times New Roman" w:cs="Times New Roman"/>
          <w:i/>
          <w:iCs/>
        </w:rPr>
        <w:t xml:space="preserve"> = 0, and the polymer–solvent, polymer–polymer, and solvent–solvent interactions are perfectly counterbalanced. Accordingly, the entropy of mixing is the only relevant term, and this favors the formation of an ideal, one-phase mixture in a theta solvent.</w:t>
      </w:r>
      <w:r>
        <w:rPr>
          <w:rFonts w:ascii="Times New Roman" w:hAnsi="Times New Roman" w:cs="Times New Roman"/>
        </w:rPr>
        <w:t>”</w:t>
      </w:r>
    </w:p>
    <w:p w14:paraId="5C940975" w14:textId="64F9693A" w:rsidR="006A0DA7" w:rsidRDefault="006A0DA7" w:rsidP="006A0DA7">
      <w:pPr>
        <w:ind w:left="720"/>
        <w:jc w:val="both"/>
        <w:rPr>
          <w:rFonts w:ascii="Times New Roman" w:hAnsi="Times New Roman" w:cs="Times New Roman"/>
        </w:rPr>
      </w:pPr>
      <w:r>
        <w:rPr>
          <w:rFonts w:ascii="Times New Roman" w:hAnsi="Times New Roman" w:cs="Times New Roman"/>
        </w:rPr>
        <w:t xml:space="preserve">For polymers the “theta” point is the critical temperature for phase separation. </w:t>
      </w:r>
      <w:r w:rsidR="00A362D6">
        <w:rPr>
          <w:rFonts w:ascii="Times New Roman" w:hAnsi="Times New Roman" w:cs="Times New Roman"/>
        </w:rPr>
        <w:t>A “theta solvent” is a solution exactly at the theta temperature.</w:t>
      </w:r>
      <w:r>
        <w:rPr>
          <w:rFonts w:ascii="Times New Roman" w:hAnsi="Times New Roman" w:cs="Times New Roman"/>
        </w:rPr>
        <w:t xml:space="preserve"> Write the Flory-Huggins</w:t>
      </w:r>
      <w:r w:rsidR="00243267">
        <w:rPr>
          <w:rFonts w:ascii="Times New Roman" w:hAnsi="Times New Roman" w:cs="Times New Roman"/>
        </w:rPr>
        <w:t xml:space="preserve"> (FH)</w:t>
      </w:r>
      <w:r>
        <w:rPr>
          <w:rFonts w:ascii="Times New Roman" w:hAnsi="Times New Roman" w:cs="Times New Roman"/>
        </w:rPr>
        <w:t xml:space="preserve"> regular-solution equation for the </w:t>
      </w:r>
      <w:r w:rsidR="009C3A15">
        <w:rPr>
          <w:rFonts w:ascii="Times New Roman" w:hAnsi="Times New Roman" w:cs="Times New Roman"/>
        </w:rPr>
        <w:t>Helmholtz</w:t>
      </w:r>
      <w:r>
        <w:rPr>
          <w:rFonts w:ascii="Times New Roman" w:hAnsi="Times New Roman" w:cs="Times New Roman"/>
        </w:rPr>
        <w:t xml:space="preserve"> free energy and indicate how you would obtain the critical point (theta-</w:t>
      </w:r>
      <w:r w:rsidR="00A362D6">
        <w:rPr>
          <w:rFonts w:ascii="Times New Roman" w:hAnsi="Times New Roman" w:cs="Times New Roman"/>
        </w:rPr>
        <w:t>temperature</w:t>
      </w:r>
      <w:r>
        <w:rPr>
          <w:rFonts w:ascii="Times New Roman" w:hAnsi="Times New Roman" w:cs="Times New Roman"/>
        </w:rPr>
        <w:t xml:space="preserve">). Is Choi’s </w:t>
      </w:r>
      <w:proofErr w:type="gramStart"/>
      <w:r w:rsidR="00A362D6">
        <w:rPr>
          <w:rFonts w:ascii="Times New Roman" w:hAnsi="Times New Roman" w:cs="Times New Roman"/>
        </w:rPr>
        <w:t>statement</w:t>
      </w:r>
      <w:proofErr w:type="gramEnd"/>
      <w:r>
        <w:rPr>
          <w:rFonts w:ascii="Times New Roman" w:hAnsi="Times New Roman" w:cs="Times New Roman"/>
        </w:rPr>
        <w:t xml:space="preserve"> correct? What is an “</w:t>
      </w:r>
      <w:proofErr w:type="spellStart"/>
      <w:r>
        <w:rPr>
          <w:rFonts w:ascii="Times New Roman" w:hAnsi="Times New Roman" w:cs="Times New Roman"/>
        </w:rPr>
        <w:t>athermal</w:t>
      </w:r>
      <w:proofErr w:type="spellEnd"/>
      <w:r>
        <w:rPr>
          <w:rFonts w:ascii="Times New Roman" w:hAnsi="Times New Roman" w:cs="Times New Roman"/>
        </w:rPr>
        <w:t>” solvent?</w:t>
      </w:r>
    </w:p>
    <w:p w14:paraId="44BBC2DF" w14:textId="2128B464" w:rsidR="006A0DA7" w:rsidRDefault="00243267" w:rsidP="006A0DA7">
      <w:pPr>
        <w:pStyle w:val="ListParagraph"/>
        <w:numPr>
          <w:ilvl w:val="0"/>
          <w:numId w:val="2"/>
        </w:numPr>
        <w:jc w:val="both"/>
        <w:rPr>
          <w:rFonts w:ascii="Times New Roman" w:hAnsi="Times New Roman" w:cs="Times New Roman"/>
        </w:rPr>
      </w:pPr>
      <w:r>
        <w:rPr>
          <w:rFonts w:ascii="Times New Roman" w:hAnsi="Times New Roman" w:cs="Times New Roman"/>
        </w:rPr>
        <w:t>Choi indicates that FH theory is for mean</w:t>
      </w:r>
      <w:r w:rsidR="00A362D6">
        <w:rPr>
          <w:rFonts w:ascii="Times New Roman" w:hAnsi="Times New Roman" w:cs="Times New Roman"/>
        </w:rPr>
        <w:t>-</w:t>
      </w:r>
      <w:r>
        <w:rPr>
          <w:rFonts w:ascii="Times New Roman" w:hAnsi="Times New Roman" w:cs="Times New Roman"/>
        </w:rPr>
        <w:t xml:space="preserve">field interactions while biological polymers have specific interactions. </w:t>
      </w:r>
      <w:r w:rsidR="00845D6B">
        <w:rPr>
          <w:rFonts w:ascii="Times New Roman" w:hAnsi="Times New Roman" w:cs="Times New Roman"/>
        </w:rPr>
        <w:t xml:space="preserve">What is the different between these two types of interaction? How are specific interactions generally dealt with, that is, what are the equations that might be used to describe specific interactions?  </w:t>
      </w:r>
    </w:p>
    <w:p w14:paraId="78AC8487" w14:textId="08B3BEF9" w:rsidR="00845D6B" w:rsidRDefault="00845D6B" w:rsidP="006A0DA7">
      <w:pPr>
        <w:pStyle w:val="ListParagraph"/>
        <w:numPr>
          <w:ilvl w:val="0"/>
          <w:numId w:val="2"/>
        </w:numPr>
        <w:jc w:val="both"/>
        <w:rPr>
          <w:rFonts w:ascii="Times New Roman" w:hAnsi="Times New Roman" w:cs="Times New Roman"/>
        </w:rPr>
      </w:pPr>
      <w:r>
        <w:rPr>
          <w:rFonts w:ascii="Times New Roman" w:hAnsi="Times New Roman" w:cs="Times New Roman"/>
        </w:rPr>
        <w:t xml:space="preserve">Something that isn’t considered by Choi is molecular convolution, that is, for polyelectrolytes with charged side groups the chains tend to be extended due to Coulombic repulsion of charge groups. How would </w:t>
      </w:r>
      <w:r w:rsidR="009E2534">
        <w:rPr>
          <w:rFonts w:ascii="Times New Roman" w:hAnsi="Times New Roman" w:cs="Times New Roman"/>
        </w:rPr>
        <w:t>rod-like chains</w:t>
      </w:r>
      <w:r>
        <w:rPr>
          <w:rFonts w:ascii="Times New Roman" w:hAnsi="Times New Roman" w:cs="Times New Roman"/>
        </w:rPr>
        <w:t xml:space="preserve"> impact </w:t>
      </w:r>
      <w:r w:rsidR="009C3A15">
        <w:rPr>
          <w:rFonts w:ascii="Times New Roman" w:hAnsi="Times New Roman" w:cs="Times New Roman"/>
        </w:rPr>
        <w:t>miscibility</w:t>
      </w:r>
      <w:r w:rsidR="009E2534">
        <w:rPr>
          <w:rFonts w:ascii="Times New Roman" w:hAnsi="Times New Roman" w:cs="Times New Roman"/>
        </w:rPr>
        <w:t xml:space="preserve"> in a solvent</w:t>
      </w:r>
      <w:r>
        <w:rPr>
          <w:rFonts w:ascii="Times New Roman" w:hAnsi="Times New Roman" w:cs="Times New Roman"/>
        </w:rPr>
        <w:t>?</w:t>
      </w:r>
    </w:p>
    <w:p w14:paraId="269A1DFC" w14:textId="5AB9611E" w:rsidR="009C3A15" w:rsidRDefault="009C3A15" w:rsidP="006A0DA7">
      <w:pPr>
        <w:pStyle w:val="ListParagraph"/>
        <w:numPr>
          <w:ilvl w:val="0"/>
          <w:numId w:val="2"/>
        </w:numPr>
        <w:jc w:val="both"/>
        <w:rPr>
          <w:rFonts w:ascii="Times New Roman" w:hAnsi="Times New Roman" w:cs="Times New Roman"/>
        </w:rPr>
      </w:pPr>
      <w:r>
        <w:rPr>
          <w:rFonts w:ascii="Times New Roman" w:hAnsi="Times New Roman" w:cs="Times New Roman"/>
        </w:rPr>
        <w:t xml:space="preserve">Choi determines a mean-field Helmholtz free energy, equation </w:t>
      </w:r>
      <w:r w:rsidR="00C644CB">
        <w:rPr>
          <w:rFonts w:ascii="Times New Roman" w:hAnsi="Times New Roman" w:cs="Times New Roman"/>
        </w:rPr>
        <w:t>6, from the partition function, Z.  Explain the origin</w:t>
      </w:r>
      <w:r w:rsidR="0081672D">
        <w:rPr>
          <w:rFonts w:ascii="Times New Roman" w:hAnsi="Times New Roman" w:cs="Times New Roman"/>
        </w:rPr>
        <w:t xml:space="preserve"> (derive)</w:t>
      </w:r>
      <w:r w:rsidR="00C644CB">
        <w:rPr>
          <w:rFonts w:ascii="Times New Roman" w:hAnsi="Times New Roman" w:cs="Times New Roman"/>
        </w:rPr>
        <w:t xml:space="preserve"> of equation 3 that relates the Helmholtz free energy to the partition function. </w:t>
      </w:r>
      <w:r w:rsidR="0081672D">
        <w:rPr>
          <w:rFonts w:ascii="Times New Roman" w:hAnsi="Times New Roman" w:cs="Times New Roman"/>
        </w:rPr>
        <w:t>What ground state is this free energy relative to?</w:t>
      </w:r>
    </w:p>
    <w:p w14:paraId="776B2C16" w14:textId="77777777" w:rsidR="004B1C30" w:rsidRDefault="004B1C30" w:rsidP="004B1C30">
      <w:pPr>
        <w:pStyle w:val="ListParagraph"/>
        <w:numPr>
          <w:ilvl w:val="0"/>
          <w:numId w:val="2"/>
        </w:numPr>
        <w:jc w:val="both"/>
        <w:rPr>
          <w:rFonts w:ascii="Times New Roman" w:hAnsi="Times New Roman" w:cs="Times New Roman"/>
        </w:rPr>
      </w:pPr>
      <w:r>
        <w:rPr>
          <w:rFonts w:ascii="Times New Roman" w:hAnsi="Times New Roman" w:cs="Times New Roman"/>
        </w:rPr>
        <w:t>Choi discusses an “associative mean-field” model. Critique this model. Are binary interactions such as used in the regular solution model, sufficient to describe associations of the type in this paper? Can a mean-field model describe protein/nucleic acid folding?</w:t>
      </w:r>
    </w:p>
    <w:p w14:paraId="26CDEAF7" w14:textId="2B251013" w:rsidR="006A0DA7" w:rsidRPr="006A0DA7" w:rsidRDefault="006A0DA7" w:rsidP="006A0DA7">
      <w:pPr>
        <w:ind w:left="720"/>
        <w:jc w:val="both"/>
        <w:rPr>
          <w:rFonts w:ascii="Times New Roman" w:hAnsi="Times New Roman" w:cs="Times New Roman"/>
        </w:rPr>
      </w:pPr>
    </w:p>
    <w:sectPr w:rsidR="006A0DA7" w:rsidRPr="006A0DA7"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97CD0"/>
    <w:multiLevelType w:val="hybridMultilevel"/>
    <w:tmpl w:val="0F34B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C208E"/>
    <w:multiLevelType w:val="hybridMultilevel"/>
    <w:tmpl w:val="F49E0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069241">
    <w:abstractNumId w:val="1"/>
  </w:num>
  <w:num w:numId="2" w16cid:durableId="200569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BC"/>
    <w:rsid w:val="0001177D"/>
    <w:rsid w:val="00243267"/>
    <w:rsid w:val="003B7032"/>
    <w:rsid w:val="004B1C30"/>
    <w:rsid w:val="005B1BCF"/>
    <w:rsid w:val="006A0DA7"/>
    <w:rsid w:val="006B499D"/>
    <w:rsid w:val="0081672D"/>
    <w:rsid w:val="00845D6B"/>
    <w:rsid w:val="009C3A15"/>
    <w:rsid w:val="009E2534"/>
    <w:rsid w:val="00A362D6"/>
    <w:rsid w:val="00A44CBC"/>
    <w:rsid w:val="00C42730"/>
    <w:rsid w:val="00C644CB"/>
    <w:rsid w:val="00D22DCA"/>
    <w:rsid w:val="00DA03F3"/>
    <w:rsid w:val="00E8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0557AE"/>
  <w15:chartTrackingRefBased/>
  <w15:docId w15:val="{7DAA9E08-C82C-0344-AF97-BB622C76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CBC"/>
    <w:rPr>
      <w:color w:val="0563C1" w:themeColor="hyperlink"/>
      <w:u w:val="single"/>
    </w:rPr>
  </w:style>
  <w:style w:type="character" w:styleId="UnresolvedMention">
    <w:name w:val="Unresolved Mention"/>
    <w:basedOn w:val="DefaultParagraphFont"/>
    <w:uiPriority w:val="99"/>
    <w:semiHidden/>
    <w:unhideWhenUsed/>
    <w:rsid w:val="00A44CBC"/>
    <w:rPr>
      <w:color w:val="605E5C"/>
      <w:shd w:val="clear" w:color="auto" w:fill="E1DFDD"/>
    </w:rPr>
  </w:style>
  <w:style w:type="paragraph" w:styleId="ListParagraph">
    <w:name w:val="List Paragraph"/>
    <w:basedOn w:val="Normal"/>
    <w:uiPriority w:val="34"/>
    <w:qFormat/>
    <w:rsid w:val="00DA03F3"/>
    <w:pPr>
      <w:spacing w:after="200"/>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65628">
      <w:bodyDiv w:val="1"/>
      <w:marLeft w:val="0"/>
      <w:marRight w:val="0"/>
      <w:marTop w:val="0"/>
      <w:marBottom w:val="0"/>
      <w:divBdr>
        <w:top w:val="none" w:sz="0" w:space="0" w:color="auto"/>
        <w:left w:val="none" w:sz="0" w:space="0" w:color="auto"/>
        <w:bottom w:val="none" w:sz="0" w:space="0" w:color="auto"/>
        <w:right w:val="none" w:sz="0" w:space="0" w:color="auto"/>
      </w:divBdr>
      <w:divsChild>
        <w:div w:id="2103868543">
          <w:marLeft w:val="0"/>
          <w:marRight w:val="0"/>
          <w:marTop w:val="0"/>
          <w:marBottom w:val="0"/>
          <w:divBdr>
            <w:top w:val="none" w:sz="0" w:space="0" w:color="auto"/>
            <w:left w:val="none" w:sz="0" w:space="0" w:color="auto"/>
            <w:bottom w:val="none" w:sz="0" w:space="0" w:color="auto"/>
            <w:right w:val="none" w:sz="0" w:space="0" w:color="auto"/>
          </w:divBdr>
          <w:divsChild>
            <w:div w:id="1241907296">
              <w:marLeft w:val="0"/>
              <w:marRight w:val="0"/>
              <w:marTop w:val="0"/>
              <w:marBottom w:val="0"/>
              <w:divBdr>
                <w:top w:val="none" w:sz="0" w:space="0" w:color="auto"/>
                <w:left w:val="none" w:sz="0" w:space="0" w:color="auto"/>
                <w:bottom w:val="none" w:sz="0" w:space="0" w:color="auto"/>
                <w:right w:val="none" w:sz="0" w:space="0" w:color="auto"/>
              </w:divBdr>
              <w:divsChild>
                <w:div w:id="21420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8</cp:revision>
  <dcterms:created xsi:type="dcterms:W3CDTF">2022-11-18T01:57:00Z</dcterms:created>
  <dcterms:modified xsi:type="dcterms:W3CDTF">2022-11-19T01:46:00Z</dcterms:modified>
</cp:coreProperties>
</file>