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1BECC" w14:textId="42AB151E" w:rsidR="00652846" w:rsidRDefault="00652846" w:rsidP="00652846">
      <w:pPr>
        <w:jc w:val="center"/>
        <w:rPr>
          <w:b/>
          <w:bCs/>
        </w:rPr>
      </w:pPr>
      <w:r w:rsidRPr="00245A53">
        <w:rPr>
          <w:b/>
          <w:bCs/>
        </w:rPr>
        <w:t xml:space="preserve">Homework </w:t>
      </w:r>
      <w:r>
        <w:rPr>
          <w:b/>
          <w:bCs/>
        </w:rPr>
        <w:t>1</w:t>
      </w:r>
      <w:r>
        <w:rPr>
          <w:b/>
          <w:bCs/>
        </w:rPr>
        <w:t>4 (Two Questions)</w:t>
      </w:r>
    </w:p>
    <w:p w14:paraId="54658769" w14:textId="77777777" w:rsidR="00652846" w:rsidRPr="00245A53" w:rsidRDefault="00652846" w:rsidP="00652846">
      <w:pPr>
        <w:jc w:val="center"/>
        <w:rPr>
          <w:b/>
          <w:bCs/>
        </w:rPr>
      </w:pPr>
      <w:r w:rsidRPr="00245A53">
        <w:rPr>
          <w:b/>
          <w:bCs/>
        </w:rPr>
        <w:t>Polymer Physics 2023</w:t>
      </w:r>
    </w:p>
    <w:p w14:paraId="47745173" w14:textId="77777777" w:rsidR="00652846" w:rsidRDefault="00652846" w:rsidP="00652846">
      <w:pPr>
        <w:jc w:val="center"/>
        <w:rPr>
          <w:b/>
          <w:bCs/>
        </w:rPr>
      </w:pPr>
    </w:p>
    <w:p w14:paraId="18E90D69" w14:textId="497F3CFC" w:rsidR="00652846" w:rsidRDefault="00652846" w:rsidP="00652846">
      <w:pPr>
        <w:jc w:val="center"/>
        <w:rPr>
          <w:b/>
          <w:bCs/>
        </w:rPr>
      </w:pPr>
      <w:r>
        <w:rPr>
          <w:b/>
          <w:bCs/>
        </w:rPr>
        <w:t xml:space="preserve">Seniors do not need to do this </w:t>
      </w:r>
      <w:r w:rsidR="008E6115">
        <w:rPr>
          <w:b/>
          <w:bCs/>
        </w:rPr>
        <w:t>homework.</w:t>
      </w:r>
    </w:p>
    <w:p w14:paraId="0430F639" w14:textId="7E2CC6CC" w:rsidR="00652846" w:rsidRPr="00245A53" w:rsidRDefault="00652846" w:rsidP="00652846">
      <w:pPr>
        <w:jc w:val="center"/>
        <w:rPr>
          <w:b/>
          <w:bCs/>
        </w:rPr>
      </w:pPr>
      <w:r>
        <w:rPr>
          <w:b/>
          <w:bCs/>
        </w:rPr>
        <w:t>This homework should be done individually (NOT IN A GROUP)</w:t>
      </w:r>
    </w:p>
    <w:p w14:paraId="79B75B4D" w14:textId="722B6D10" w:rsidR="00652846" w:rsidRDefault="00652846" w:rsidP="00652846">
      <w:pPr>
        <w:jc w:val="center"/>
        <w:rPr>
          <w:b/>
          <w:bCs/>
        </w:rPr>
      </w:pPr>
      <w:r>
        <w:rPr>
          <w:b/>
          <w:bCs/>
        </w:rPr>
        <w:t xml:space="preserve">You can </w:t>
      </w:r>
      <w:r w:rsidR="008E6115">
        <w:rPr>
          <w:b/>
          <w:bCs/>
        </w:rPr>
        <w:t>choose</w:t>
      </w:r>
      <w:r>
        <w:rPr>
          <w:b/>
          <w:bCs/>
        </w:rPr>
        <w:t xml:space="preserve"> to do the first problem only</w:t>
      </w:r>
      <w:r w:rsidR="008E6115">
        <w:rPr>
          <w:b/>
          <w:bCs/>
        </w:rPr>
        <w:t>;</w:t>
      </w:r>
      <w:r>
        <w:rPr>
          <w:b/>
          <w:bCs/>
        </w:rPr>
        <w:t xml:space="preserve"> or both problems.  If you do both </w:t>
      </w:r>
      <w:r w:rsidR="008E6115">
        <w:rPr>
          <w:b/>
          <w:bCs/>
        </w:rPr>
        <w:t>problems,</w:t>
      </w:r>
      <w:r>
        <w:rPr>
          <w:b/>
          <w:bCs/>
        </w:rPr>
        <w:t xml:space="preserve"> then I will </w:t>
      </w:r>
      <w:proofErr w:type="spellStart"/>
      <w:r>
        <w:rPr>
          <w:b/>
          <w:bCs/>
        </w:rPr>
        <w:t>log</w:t>
      </w:r>
      <w:proofErr w:type="spellEnd"/>
      <w:r>
        <w:rPr>
          <w:b/>
          <w:bCs/>
        </w:rPr>
        <w:t xml:space="preserve"> two grades (unless you get less than a 90 on the second problem)</w:t>
      </w:r>
    </w:p>
    <w:p w14:paraId="3542D2C7" w14:textId="603CA4AD" w:rsidR="00652846" w:rsidRPr="00245A53" w:rsidRDefault="00652846" w:rsidP="00652846">
      <w:pPr>
        <w:jc w:val="center"/>
        <w:rPr>
          <w:b/>
          <w:bCs/>
        </w:rPr>
      </w:pPr>
      <w:r w:rsidRPr="00245A53">
        <w:rPr>
          <w:b/>
          <w:bCs/>
        </w:rPr>
        <w:t xml:space="preserve">Due </w:t>
      </w:r>
      <w:r>
        <w:rPr>
          <w:b/>
          <w:bCs/>
        </w:rPr>
        <w:t>Thurs</w:t>
      </w:r>
      <w:r w:rsidRPr="00245A53">
        <w:rPr>
          <w:b/>
          <w:bCs/>
        </w:rPr>
        <w:t xml:space="preserve">day </w:t>
      </w:r>
      <w:r>
        <w:rPr>
          <w:b/>
          <w:bCs/>
        </w:rPr>
        <w:t xml:space="preserve">April </w:t>
      </w:r>
      <w:r>
        <w:rPr>
          <w:b/>
          <w:bCs/>
        </w:rPr>
        <w:t>27</w:t>
      </w:r>
      <w:r>
        <w:rPr>
          <w:b/>
          <w:bCs/>
        </w:rPr>
        <w:t xml:space="preserve"> </w:t>
      </w:r>
      <w:r w:rsidRPr="00245A53">
        <w:rPr>
          <w:b/>
          <w:bCs/>
        </w:rPr>
        <w:t>at noon</w:t>
      </w:r>
    </w:p>
    <w:p w14:paraId="5F9CFC20" w14:textId="15BC7239" w:rsidR="00652846" w:rsidRPr="00245A53" w:rsidRDefault="00652846" w:rsidP="00652846">
      <w:pPr>
        <w:jc w:val="center"/>
      </w:pPr>
      <w:r w:rsidRPr="00245A53">
        <w:t xml:space="preserve">(Please send </w:t>
      </w:r>
      <w:r>
        <w:t>an</w:t>
      </w:r>
      <w:r w:rsidRPr="00245A53">
        <w:t xml:space="preserve"> email with a </w:t>
      </w:r>
      <w:r w:rsidRPr="00245A53">
        <w:rPr>
          <w:b/>
          <w:bCs/>
          <w:u w:val="single"/>
        </w:rPr>
        <w:t>pdf</w:t>
      </w:r>
      <w:r w:rsidRPr="00245A53">
        <w:rPr>
          <w:b/>
          <w:bCs/>
        </w:rPr>
        <w:t xml:space="preserve"> </w:t>
      </w:r>
      <w:r w:rsidRPr="00245A53">
        <w:t xml:space="preserve">attachment to </w:t>
      </w:r>
      <w:hyperlink r:id="rId7" w:history="1">
        <w:r w:rsidRPr="00245A53">
          <w:rPr>
            <w:rStyle w:val="Hyperlink"/>
          </w:rPr>
          <w:t>beaucag@uc.edu</w:t>
        </w:r>
      </w:hyperlink>
      <w:r w:rsidRPr="00245A53">
        <w:t xml:space="preserve"> </w:t>
      </w:r>
    </w:p>
    <w:p w14:paraId="24813DAE" w14:textId="692F4751" w:rsidR="00652846" w:rsidRDefault="00652846" w:rsidP="00652846">
      <w:pPr>
        <w:jc w:val="center"/>
      </w:pPr>
      <w:r w:rsidRPr="00245A53">
        <w:t xml:space="preserve">The file should be called: </w:t>
      </w:r>
      <w:r w:rsidRPr="00245A53">
        <w:rPr>
          <w:b/>
          <w:bCs/>
        </w:rPr>
        <w:t xml:space="preserve">HW </w:t>
      </w:r>
      <w:r>
        <w:rPr>
          <w:b/>
          <w:bCs/>
        </w:rPr>
        <w:t>1</w:t>
      </w:r>
      <w:r>
        <w:rPr>
          <w:b/>
          <w:bCs/>
        </w:rPr>
        <w:t>4</w:t>
      </w:r>
      <w:r w:rsidRPr="00245A53">
        <w:rPr>
          <w:b/>
          <w:bCs/>
        </w:rPr>
        <w:t xml:space="preserve"> Last Name.pdf</w:t>
      </w:r>
      <w:r w:rsidRPr="00245A53">
        <w:t>)</w:t>
      </w:r>
    </w:p>
    <w:p w14:paraId="47C78CD0" w14:textId="77777777" w:rsidR="008E6115" w:rsidRDefault="008E6115" w:rsidP="00652846">
      <w:pPr>
        <w:jc w:val="center"/>
      </w:pPr>
    </w:p>
    <w:p w14:paraId="25FD914A" w14:textId="77777777" w:rsidR="008E6115" w:rsidRPr="00245A53" w:rsidRDefault="008E6115" w:rsidP="00652846">
      <w:pPr>
        <w:jc w:val="center"/>
      </w:pPr>
    </w:p>
    <w:p w14:paraId="06D28A3F" w14:textId="20F293C0" w:rsidR="005263C5" w:rsidRDefault="008E6115" w:rsidP="008E6115">
      <w:pPr>
        <w:jc w:val="center"/>
        <w:rPr>
          <w:b/>
          <w:bCs/>
        </w:rPr>
      </w:pPr>
      <w:r w:rsidRPr="008E6115">
        <w:rPr>
          <w:b/>
          <w:bCs/>
        </w:rPr>
        <w:t>Question 1</w:t>
      </w:r>
    </w:p>
    <w:p w14:paraId="33E71EB0" w14:textId="77777777" w:rsidR="008E6115" w:rsidRPr="008E6115" w:rsidRDefault="008E6115" w:rsidP="008E6115">
      <w:pPr>
        <w:jc w:val="center"/>
        <w:rPr>
          <w:b/>
          <w:bCs/>
        </w:rPr>
      </w:pPr>
    </w:p>
    <w:p w14:paraId="041A161B" w14:textId="65522321" w:rsidR="003B347B" w:rsidRPr="00D41393" w:rsidRDefault="00D41393" w:rsidP="00AC7928">
      <w:pPr>
        <w:jc w:val="both"/>
      </w:pPr>
      <w:r>
        <w:t>Machine learning</w:t>
      </w:r>
      <w:r w:rsidR="00CD4732">
        <w:t xml:space="preserve"> (ML)</w:t>
      </w:r>
      <w:r>
        <w:t xml:space="preserve"> has been proposed as an advantageous tool for dealing with multidimensional space and large data sets</w:t>
      </w:r>
      <w:r w:rsidR="003E690E">
        <w:t xml:space="preserve">. </w:t>
      </w:r>
      <w:r>
        <w:t xml:space="preserve">Shen Z-H, Bao Z-W, Cheng X-X, Li B-W, Liu H-X, Shen Y, Chen L-Q, Li X-G, Nan C-W </w:t>
      </w:r>
      <w:r>
        <w:rPr>
          <w:i/>
          <w:iCs/>
        </w:rPr>
        <w:t>Designing polymer nanocomposites with high energy density using machine learning</w:t>
      </w:r>
      <w:r>
        <w:t xml:space="preserve"> Nature Computational Materials </w:t>
      </w:r>
      <w:r>
        <w:rPr>
          <w:b/>
          <w:bCs/>
        </w:rPr>
        <w:t>7</w:t>
      </w:r>
      <w:r>
        <w:t xml:space="preserve"> 110 (2021)</w:t>
      </w:r>
      <w:r w:rsidR="00CD4732">
        <w:t xml:space="preserve"> describes a method for the design of polymer nanocomposite capacitors</w:t>
      </w:r>
      <w:r>
        <w:t xml:space="preserve">.  </w:t>
      </w:r>
    </w:p>
    <w:p w14:paraId="7DC7E2C8" w14:textId="77777777" w:rsidR="005263C5" w:rsidRDefault="005263C5"/>
    <w:p w14:paraId="2B0BE1C7" w14:textId="26F72CFE" w:rsidR="00957676" w:rsidRDefault="009305E3" w:rsidP="00CD4732">
      <w:pPr>
        <w:pStyle w:val="ListParagraph"/>
        <w:numPr>
          <w:ilvl w:val="0"/>
          <w:numId w:val="24"/>
        </w:numPr>
      </w:pPr>
      <w:r>
        <w:t>What are</w:t>
      </w:r>
      <w:r w:rsidR="00D41393">
        <w:t xml:space="preserve"> the advantages of the ML method for Shen’s study</w:t>
      </w:r>
      <w:r>
        <w:t xml:space="preserve"> in terms of his conclusion in Figure 2 of the supplemental material</w:t>
      </w:r>
      <w:r w:rsidR="00D41393">
        <w:t xml:space="preserve">.  </w:t>
      </w:r>
      <w:r w:rsidR="00EF5448">
        <w:t xml:space="preserve">Consider that </w:t>
      </w:r>
      <w:proofErr w:type="spellStart"/>
      <w:r w:rsidR="00244EF9">
        <w:t>Osada</w:t>
      </w:r>
      <w:proofErr w:type="spellEnd"/>
      <w:r w:rsidR="00244EF9">
        <w:t xml:space="preserve"> M, Sasaki T </w:t>
      </w:r>
      <w:r w:rsidR="00244EF9">
        <w:rPr>
          <w:i/>
          <w:iCs/>
        </w:rPr>
        <w:t>The rise of 2D dielectric/ferroelectrics</w:t>
      </w:r>
      <w:r w:rsidR="00244EF9">
        <w:t xml:space="preserve"> APL Materials </w:t>
      </w:r>
      <w:r w:rsidR="00244EF9">
        <w:rPr>
          <w:b/>
          <w:bCs/>
        </w:rPr>
        <w:t>7</w:t>
      </w:r>
      <w:r w:rsidR="00244EF9">
        <w:t xml:space="preserve"> 120902 (2019) published a review article showing that </w:t>
      </w:r>
      <w:r w:rsidR="00530083">
        <w:t xml:space="preserve">Ca based perovskite crystals were useful dielectrics due to their sheet structures (Table 1). </w:t>
      </w:r>
      <w:r w:rsidR="00EF5448">
        <w:t xml:space="preserve">It is noted in the article by Shen that it </w:t>
      </w:r>
      <w:r>
        <w:t>was previously</w:t>
      </w:r>
      <w:r w:rsidR="00EF5448">
        <w:t xml:space="preserve"> known that nanocomposites can overcome some problems with dielectric breakdown and dispersion at low concentrations of nanofiller and that it is known that the higher dielectric constant materials</w:t>
      </w:r>
      <w:r>
        <w:t xml:space="preserve"> such as Ca perovskites</w:t>
      </w:r>
      <w:r w:rsidR="00EF5448">
        <w:t xml:space="preserve"> will have better performance as capacitors.</w:t>
      </w:r>
      <w:r w:rsidR="00CD4732">
        <w:t xml:space="preserve"> </w:t>
      </w:r>
    </w:p>
    <w:p w14:paraId="3638CA8C" w14:textId="414B17A3" w:rsidR="00C853F8" w:rsidRDefault="00F86B2A" w:rsidP="00B64EC6">
      <w:pPr>
        <w:pStyle w:val="ListParagraph"/>
        <w:numPr>
          <w:ilvl w:val="0"/>
          <w:numId w:val="24"/>
        </w:numPr>
      </w:pPr>
      <w:r>
        <w:t>Define some of the terms used by Shen on page 2: “inversely-design polymer nanocomposite”, “scoring function”, “back propagation neural network”.  Explain in detail the scoring function used by Shen and how it is used in the scheme of Figure 4 (center of figure).</w:t>
      </w:r>
    </w:p>
    <w:p w14:paraId="14E73A2E" w14:textId="2DD96B6B" w:rsidR="00FE2A49" w:rsidRDefault="00616FD8" w:rsidP="00FE2A49">
      <w:pPr>
        <w:pStyle w:val="ListParagraph"/>
        <w:numPr>
          <w:ilvl w:val="0"/>
          <w:numId w:val="24"/>
        </w:numPr>
      </w:pPr>
      <w:r>
        <w:t>Xu</w:t>
      </w:r>
      <w:r w:rsidR="000530F2">
        <w:t xml:space="preserve"> H, Sheridan RJ, Brinson LC, Chen W, Jiang B, </w:t>
      </w:r>
      <w:proofErr w:type="spellStart"/>
      <w:r w:rsidR="000530F2">
        <w:t>Papakonstantopoulos</w:t>
      </w:r>
      <w:proofErr w:type="spellEnd"/>
      <w:r w:rsidR="000530F2">
        <w:t xml:space="preserve"> G, </w:t>
      </w:r>
      <w:proofErr w:type="spellStart"/>
      <w:r w:rsidR="000530F2">
        <w:t>Polinska</w:t>
      </w:r>
      <w:proofErr w:type="spellEnd"/>
      <w:r w:rsidR="000530F2">
        <w:t xml:space="preserve"> P, Burkhart C </w:t>
      </w:r>
      <w:r w:rsidR="000530F2">
        <w:rPr>
          <w:i/>
          <w:iCs/>
        </w:rPr>
        <w:t>Chapter 11 Data-Driven Multiscale Science for Tire Compounding: Methods and Future Directions</w:t>
      </w:r>
      <w:r w:rsidR="000530F2">
        <w:t xml:space="preserve"> 281-312 in </w:t>
      </w:r>
      <w:r w:rsidR="00677CED">
        <w:t>“</w:t>
      </w:r>
      <w:r w:rsidR="000530F2">
        <w:t>Theory and Modeling of Polymer Nanocomposites</w:t>
      </w:r>
      <w:r w:rsidR="00677CED">
        <w:t>”</w:t>
      </w:r>
      <w:r w:rsidR="000530F2">
        <w:t xml:space="preserve"> Eds. Ginzburg VV, Hall LM, Springer Series in Materials Science </w:t>
      </w:r>
      <w:r w:rsidR="000530F2" w:rsidRPr="00677CED">
        <w:rPr>
          <w:b/>
          <w:bCs/>
        </w:rPr>
        <w:t>310</w:t>
      </w:r>
      <w:r w:rsidR="000530F2">
        <w:t xml:space="preserve"> (2021) discusses the use of data analytics and machine learning in the design of tires focusing on the </w:t>
      </w:r>
      <w:r w:rsidR="00677CED">
        <w:t xml:space="preserve">tan </w:t>
      </w:r>
      <w:r w:rsidR="00677CED" w:rsidRPr="0058186A">
        <w:rPr>
          <w:rFonts w:ascii="Symbol" w:hAnsi="Symbol"/>
          <w:i/>
          <w:iCs/>
        </w:rPr>
        <w:t>d</w:t>
      </w:r>
      <w:r w:rsidR="00677CED">
        <w:t xml:space="preserve"> peak</w:t>
      </w:r>
      <w:r w:rsidR="000530F2">
        <w:t xml:space="preserve">. </w:t>
      </w:r>
      <w:r w:rsidR="00677CED">
        <w:t>Data analytics is used to construct representative volume elements (RVE) reflecting the microstructure</w:t>
      </w:r>
      <w:r w:rsidR="001A24E9">
        <w:t xml:space="preserve"> and </w:t>
      </w:r>
      <w:r w:rsidR="00ED6BAF">
        <w:t>ML is used to reconstruct the interphase structure and th</w:t>
      </w:r>
      <w:r w:rsidR="001A24E9">
        <w:t xml:space="preserve">e tan </w:t>
      </w:r>
      <w:r w:rsidR="001A24E9" w:rsidRPr="0058186A">
        <w:rPr>
          <w:rFonts w:ascii="Symbol" w:hAnsi="Symbol"/>
          <w:i/>
          <w:iCs/>
        </w:rPr>
        <w:t>d</w:t>
      </w:r>
      <w:r w:rsidR="001A24E9">
        <w:t xml:space="preserve"> peak</w:t>
      </w:r>
      <w:r w:rsidR="00ED6BAF">
        <w:t xml:space="preserve">. </w:t>
      </w:r>
      <w:r w:rsidR="0056045F">
        <w:t xml:space="preserve">Xu </w:t>
      </w:r>
      <w:r w:rsidR="006507C9">
        <w:t>first discusses</w:t>
      </w:r>
      <w:r w:rsidR="0056045F">
        <w:t xml:space="preserve"> a simple model for the tan </w:t>
      </w:r>
      <w:r w:rsidR="0056045F" w:rsidRPr="0058186A">
        <w:rPr>
          <w:rFonts w:ascii="Symbol" w:hAnsi="Symbol"/>
          <w:i/>
          <w:iCs/>
        </w:rPr>
        <w:t>d</w:t>
      </w:r>
      <w:r w:rsidR="0056045F">
        <w:t xml:space="preserve"> peak</w:t>
      </w:r>
      <w:r w:rsidR="0058186A">
        <w:t xml:space="preserve"> shown in figure 11.4.  Explain how each of the </w:t>
      </w:r>
      <w:proofErr w:type="spellStart"/>
      <w:r w:rsidR="0058186A">
        <w:t>prony</w:t>
      </w:r>
      <w:proofErr w:type="spellEnd"/>
      <w:r w:rsidR="0058186A">
        <w:t xml:space="preserve"> series elements has an associated relaxation time, give the shape of G’ and G” and tan </w:t>
      </w:r>
      <w:r w:rsidR="0058186A" w:rsidRPr="0058186A">
        <w:rPr>
          <w:rFonts w:ascii="Symbol" w:hAnsi="Symbol"/>
          <w:i/>
          <w:iCs/>
        </w:rPr>
        <w:t>d</w:t>
      </w:r>
      <w:r w:rsidR="0058186A">
        <w:t xml:space="preserve"> in frequency at a fixed temperature from each of these elements and explain how a peak in tan </w:t>
      </w:r>
      <w:r w:rsidR="0058186A" w:rsidRPr="0058186A">
        <w:rPr>
          <w:rFonts w:ascii="Symbol" w:hAnsi="Symbol"/>
          <w:i/>
          <w:iCs/>
        </w:rPr>
        <w:t>d</w:t>
      </w:r>
      <w:r w:rsidR="0058186A">
        <w:t xml:space="preserve"> could be shifted with increasing filler content from the overall model.  </w:t>
      </w:r>
    </w:p>
    <w:p w14:paraId="010AE1E2" w14:textId="5262E1B9" w:rsidR="00571A3D" w:rsidRDefault="00A41948" w:rsidP="00FE2A49">
      <w:pPr>
        <w:pStyle w:val="ListParagraph"/>
        <w:numPr>
          <w:ilvl w:val="0"/>
          <w:numId w:val="24"/>
        </w:numPr>
      </w:pPr>
      <w:r>
        <w:t xml:space="preserve">Xu </w:t>
      </w:r>
      <w:r w:rsidR="006507C9">
        <w:t xml:space="preserve">then </w:t>
      </w:r>
      <w:r>
        <w:t xml:space="preserve">uses the method of Deng (Deng H, Liu Y, Gai D, </w:t>
      </w:r>
      <w:proofErr w:type="spellStart"/>
      <w:r>
        <w:t>Dikin</w:t>
      </w:r>
      <w:proofErr w:type="spellEnd"/>
      <w:r>
        <w:t xml:space="preserve"> DA, Putz KW, Chen W, </w:t>
      </w:r>
      <w:proofErr w:type="spellStart"/>
      <w:r>
        <w:t>Brison</w:t>
      </w:r>
      <w:proofErr w:type="spellEnd"/>
      <w:r>
        <w:t xml:space="preserve"> LC, Burkhart C, </w:t>
      </w:r>
      <w:proofErr w:type="spellStart"/>
      <w:r>
        <w:t>Poldneff</w:t>
      </w:r>
      <w:proofErr w:type="spellEnd"/>
      <w:r>
        <w:t xml:space="preserve"> M, Jiang B, </w:t>
      </w:r>
      <w:proofErr w:type="spellStart"/>
      <w:r>
        <w:t>Papakonstantopoulos</w:t>
      </w:r>
      <w:proofErr w:type="spellEnd"/>
      <w:r>
        <w:t xml:space="preserve"> GJ </w:t>
      </w:r>
      <w:r w:rsidRPr="00A41948">
        <w:rPr>
          <w:i/>
          <w:iCs/>
        </w:rPr>
        <w:t xml:space="preserve">Utilizing real and </w:t>
      </w:r>
      <w:r w:rsidRPr="00A41948">
        <w:rPr>
          <w:i/>
          <w:iCs/>
        </w:rPr>
        <w:lastRenderedPageBreak/>
        <w:t>statistically reconstructed microstructures for the viscoelastic modeling of polymer nanocomposites</w:t>
      </w:r>
      <w:r>
        <w:t xml:space="preserve"> Comp. Sci. Tech. </w:t>
      </w:r>
      <w:r>
        <w:rPr>
          <w:b/>
          <w:bCs/>
        </w:rPr>
        <w:t>72</w:t>
      </w:r>
      <w:r>
        <w:t xml:space="preserve"> 1725-1732 (2012)) to account for microstructure from micrographs and the interphase from shifts in the tan</w:t>
      </w:r>
      <w:r w:rsidRPr="00A41948">
        <w:rPr>
          <w:rFonts w:ascii="Symbol" w:hAnsi="Symbol"/>
          <w:i/>
          <w:iCs/>
        </w:rPr>
        <w:t xml:space="preserve"> </w:t>
      </w:r>
      <w:r w:rsidRPr="0058186A">
        <w:rPr>
          <w:rFonts w:ascii="Symbol" w:hAnsi="Symbol"/>
          <w:i/>
          <w:iCs/>
        </w:rPr>
        <w:t>d</w:t>
      </w:r>
      <w:r>
        <w:t xml:space="preserve"> peak</w:t>
      </w:r>
      <w:r w:rsidR="00B9201B">
        <w:t xml:space="preserve">.  Describe Deng’s method and compare it with X-ray scattering measurements that can generate a correlation function over five orders of size from 1 </w:t>
      </w:r>
      <w:r w:rsidR="00B9201B">
        <w:rPr>
          <w:caps/>
        </w:rPr>
        <w:t xml:space="preserve">Å </w:t>
      </w:r>
      <w:r w:rsidR="00B9201B">
        <w:t>to 5 µm.</w:t>
      </w:r>
      <w:r>
        <w:t xml:space="preserve">  </w:t>
      </w:r>
    </w:p>
    <w:p w14:paraId="1B413B2E" w14:textId="4699E46E" w:rsidR="00B9201B" w:rsidRDefault="00B9201B" w:rsidP="00FE2A49">
      <w:pPr>
        <w:pStyle w:val="ListParagraph"/>
        <w:numPr>
          <w:ilvl w:val="0"/>
          <w:numId w:val="24"/>
        </w:numPr>
      </w:pPr>
      <w:r>
        <w:t>Xu describes filler in terms of loading percent, “dispersion”, and “geometry”.  Consider that carbon black filler is a hierarchical structure composed of primary particles, aggregates, agglomerates, and a carbon</w:t>
      </w:r>
      <w:r w:rsidR="006507C9">
        <w:t xml:space="preserve"> agglomerate</w:t>
      </w:r>
      <w:r>
        <w:t xml:space="preserve"> network</w:t>
      </w:r>
      <w:r w:rsidR="006507C9">
        <w:t xml:space="preserve"> on the millimeter scale</w:t>
      </w:r>
      <w:r w:rsidR="00ED7339">
        <w:t xml:space="preserve">, and that “dispersion” has different meanings on all these size scales as does “geometry”.  Further, consider that the one parameter, tan </w:t>
      </w:r>
      <w:r w:rsidR="00ED7339" w:rsidRPr="0058186A">
        <w:rPr>
          <w:rFonts w:ascii="Symbol" w:hAnsi="Symbol"/>
          <w:i/>
          <w:iCs/>
        </w:rPr>
        <w:t>d</w:t>
      </w:r>
      <w:r w:rsidR="00ED7339">
        <w:t xml:space="preserve"> at a single temperature or frequency, strain amplitude and deformation geometry (shear strain) might not completely describe the behavior of a reinforced elastomer. For instance, how is tear resistance modeled with this approach</w:t>
      </w:r>
      <w:r w:rsidR="006507C9">
        <w:t xml:space="preserve">, or the Mullins or Payne effects?  </w:t>
      </w:r>
      <w:r w:rsidR="00ED7339">
        <w:t>Critique Xu’s simplification.</w:t>
      </w:r>
      <w:r w:rsidR="00F2313D">
        <w:t xml:space="preserve"> How realistic/feasible is the scheme shown in Figure 11.20 in this context?</w:t>
      </w:r>
    </w:p>
    <w:p w14:paraId="3CC375BE" w14:textId="77777777" w:rsidR="008E6115" w:rsidRDefault="008E6115" w:rsidP="008E6115">
      <w:pPr>
        <w:pStyle w:val="ListParagraph"/>
      </w:pPr>
    </w:p>
    <w:p w14:paraId="6751ACAF" w14:textId="77777777" w:rsidR="008E6115" w:rsidRDefault="008E6115" w:rsidP="008E6115">
      <w:pPr>
        <w:pStyle w:val="ListParagraph"/>
      </w:pPr>
    </w:p>
    <w:p w14:paraId="6FB1B8C7" w14:textId="77777777" w:rsidR="008E6115" w:rsidRDefault="008E6115" w:rsidP="008E6115">
      <w:pPr>
        <w:pStyle w:val="NormalWeb"/>
        <w:rPr>
          <w:rFonts w:ascii="TimesNewRomanPSMT" w:hAnsi="TimesNewRomanPSMT"/>
        </w:rPr>
      </w:pPr>
    </w:p>
    <w:p w14:paraId="019AFA26" w14:textId="4EA1B2FB" w:rsidR="008E6115" w:rsidRPr="008E6115" w:rsidRDefault="008E6115" w:rsidP="008E6115">
      <w:pPr>
        <w:pStyle w:val="NormalWeb"/>
        <w:pageBreakBefore/>
        <w:jc w:val="center"/>
        <w:rPr>
          <w:rFonts w:ascii="TimesNewRomanPSMT" w:hAnsi="TimesNewRomanPSMT"/>
          <w:b/>
          <w:bCs/>
        </w:rPr>
      </w:pPr>
      <w:r w:rsidRPr="008E6115">
        <w:rPr>
          <w:rFonts w:ascii="TimesNewRomanPSMT" w:hAnsi="TimesNewRomanPSMT"/>
          <w:b/>
          <w:bCs/>
        </w:rPr>
        <w:lastRenderedPageBreak/>
        <w:t>Question 2</w:t>
      </w:r>
    </w:p>
    <w:p w14:paraId="2E71B660" w14:textId="77777777" w:rsidR="005966E2" w:rsidRDefault="005966E2" w:rsidP="005966E2">
      <w:r w:rsidRPr="004B5E65">
        <w:t>Layered nanocomposites are common in the polymer literature but</w:t>
      </w:r>
      <w:r>
        <w:t>,</w:t>
      </w:r>
      <w:r w:rsidRPr="004B5E65">
        <w:t xml:space="preserve"> so far</w:t>
      </w:r>
      <w:r>
        <w:t>,</w:t>
      </w:r>
      <w:r w:rsidRPr="004B5E65">
        <w:t xml:space="preserve"> </w:t>
      </w:r>
      <w:proofErr w:type="gramStart"/>
      <w:r>
        <w:t>fairly</w:t>
      </w:r>
      <w:r w:rsidRPr="004B5E65">
        <w:t xml:space="preserve"> rare</w:t>
      </w:r>
      <w:proofErr w:type="gramEnd"/>
      <w:r w:rsidRPr="004B5E65">
        <w:t xml:space="preserve"> in application.  </w:t>
      </w:r>
      <w:r>
        <w:t xml:space="preserve">Volkswagen recently funded a study, published this week, </w:t>
      </w:r>
      <w:r w:rsidRPr="004B5E65">
        <w:t>Rolle</w:t>
      </w:r>
      <w:r>
        <w:t xml:space="preserve"> K</w:t>
      </w:r>
      <w:r w:rsidRPr="004B5E65">
        <w:t>, Schilling</w:t>
      </w:r>
      <w:r>
        <w:t xml:space="preserve"> T</w:t>
      </w:r>
      <w:r w:rsidRPr="004B5E65">
        <w:t xml:space="preserve">, </w:t>
      </w:r>
      <w:proofErr w:type="spellStart"/>
      <w:r w:rsidRPr="004B5E65">
        <w:t>Westermeier</w:t>
      </w:r>
      <w:proofErr w:type="spellEnd"/>
      <w:r>
        <w:t xml:space="preserve"> F</w:t>
      </w:r>
      <w:r w:rsidRPr="004B5E65">
        <w:t>, Das</w:t>
      </w:r>
      <w:r>
        <w:t xml:space="preserve"> S</w:t>
      </w:r>
      <w:r w:rsidRPr="004B5E65">
        <w:t xml:space="preserve">, </w:t>
      </w:r>
      <w:proofErr w:type="spellStart"/>
      <w:r w:rsidRPr="004B5E65">
        <w:t>Breu</w:t>
      </w:r>
      <w:proofErr w:type="spellEnd"/>
      <w:r>
        <w:t xml:space="preserve"> J</w:t>
      </w:r>
      <w:r w:rsidRPr="004B5E65">
        <w:t xml:space="preserve">, </w:t>
      </w:r>
      <w:proofErr w:type="spellStart"/>
      <w:r w:rsidRPr="004B5E65">
        <w:t>Fytas</w:t>
      </w:r>
      <w:proofErr w:type="spellEnd"/>
      <w:r>
        <w:t xml:space="preserve"> G </w:t>
      </w:r>
      <w:r w:rsidRPr="004B5E65">
        <w:rPr>
          <w:i/>
        </w:rPr>
        <w:t xml:space="preserve">Large </w:t>
      </w:r>
      <w:proofErr w:type="spellStart"/>
      <w:r w:rsidRPr="004B5E65">
        <w:rPr>
          <w:i/>
        </w:rPr>
        <w:t>T</w:t>
      </w:r>
      <w:r w:rsidRPr="004B5E65">
        <w:rPr>
          <w:i/>
          <w:vertAlign w:val="subscript"/>
        </w:rPr>
        <w:t>g</w:t>
      </w:r>
      <w:proofErr w:type="spellEnd"/>
      <w:r w:rsidRPr="004B5E65">
        <w:rPr>
          <w:i/>
        </w:rPr>
        <w:t xml:space="preserve"> Shift in Hybrid Bragg Stacks through Interfacial Slowdown</w:t>
      </w:r>
      <w:r>
        <w:rPr>
          <w:i/>
        </w:rPr>
        <w:t xml:space="preserve"> </w:t>
      </w:r>
      <w:hyperlink r:id="rId8" w:history="1">
        <w:r w:rsidRPr="001F3029">
          <w:rPr>
            <w:rStyle w:val="Hyperlink"/>
          </w:rPr>
          <w:t>https://dx.doi.org/10.1021/acs.macromol.0c02818</w:t>
        </w:r>
      </w:hyperlink>
      <w:r>
        <w:t xml:space="preserve"> where samples of monolayer and bilayer intercalated polymer in clay were used as shown in the graphic below.</w:t>
      </w:r>
    </w:p>
    <w:p w14:paraId="5B6E4402" w14:textId="77777777" w:rsidR="005966E2" w:rsidRDefault="005966E2" w:rsidP="005966E2">
      <w:pPr>
        <w:jc w:val="center"/>
        <w:rPr>
          <w:noProof/>
        </w:rPr>
      </w:pPr>
      <w:r w:rsidRPr="00106463">
        <w:rPr>
          <w:noProof/>
        </w:rPr>
        <w:drawing>
          <wp:inline distT="0" distB="0" distL="0" distR="0" wp14:anchorId="3AEE6BDE" wp14:editId="67ACFC83">
            <wp:extent cx="2427137" cy="105798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9491" cy="107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1BC">
        <w:fldChar w:fldCharType="begin"/>
      </w:r>
      <w:r w:rsidRPr="00C661BC">
        <w:instrText xml:space="preserve"> INCLUDEPICTURE "/var/folders/9k/wqn0x67941ggcm4vz4ctrmgc0000gq/T/com.microsoft.Word/WebArchiveCopyPasteTempFiles/B-1-08-01_2VP-680x600.png" \* MERGEFORMATINET </w:instrText>
      </w:r>
      <w:r w:rsidRPr="00C661BC">
        <w:fldChar w:fldCharType="separate"/>
      </w:r>
      <w:r w:rsidRPr="00C661BC">
        <w:rPr>
          <w:noProof/>
        </w:rPr>
        <w:drawing>
          <wp:inline distT="0" distB="0" distL="0" distR="0" wp14:anchorId="726017C3" wp14:editId="6B7C7C70">
            <wp:extent cx="1103326" cy="972954"/>
            <wp:effectExtent l="0" t="0" r="0" b="5080"/>
            <wp:docPr id="8" name="Picture 8" descr="Poly(2-vinyl pyridine) stand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y(2-vinyl pyridine) standard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35" cy="99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1BC">
        <w:fldChar w:fldCharType="end"/>
      </w:r>
      <w:r w:rsidRPr="00512ABA">
        <w:rPr>
          <w:noProof/>
        </w:rPr>
        <w:drawing>
          <wp:inline distT="0" distB="0" distL="0" distR="0" wp14:anchorId="21BEC468" wp14:editId="2E819D07">
            <wp:extent cx="4701482" cy="1511405"/>
            <wp:effectExtent l="0" t="0" r="0" b="0"/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2123" cy="152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3F757" w14:textId="77777777" w:rsidR="005966E2" w:rsidRDefault="005966E2" w:rsidP="005966E2">
      <w:pPr>
        <w:pStyle w:val="ListParagraph"/>
        <w:numPr>
          <w:ilvl w:val="0"/>
          <w:numId w:val="25"/>
        </w:numPr>
      </w:pPr>
      <w:r>
        <w:t xml:space="preserve">In the DSC traces of Figure 2, evidence is given for a single thermal regime in the monolayer sample and two thermal regimes in the bilayer sample.  The monolayer thermal regime is referred to as </w:t>
      </w:r>
      <w:r w:rsidRPr="00C661BC">
        <w:rPr>
          <w:i/>
        </w:rPr>
        <w:t>irreversibly adsorbed</w:t>
      </w:r>
      <w:r>
        <w:t xml:space="preserve"> (also called </w:t>
      </w:r>
      <w:proofErr w:type="spellStart"/>
      <w:r w:rsidRPr="00C661BC">
        <w:rPr>
          <w:i/>
        </w:rPr>
        <w:t>Guiselin</w:t>
      </w:r>
      <w:proofErr w:type="spellEnd"/>
      <w:r w:rsidRPr="00C661BC">
        <w:rPr>
          <w:i/>
        </w:rPr>
        <w:t xml:space="preserve"> brush</w:t>
      </w:r>
      <w:r w:rsidRPr="00C661BC">
        <w:t xml:space="preserve"> </w:t>
      </w:r>
      <w:r>
        <w:t xml:space="preserve">or </w:t>
      </w:r>
      <w:r w:rsidRPr="00C661BC">
        <w:rPr>
          <w:i/>
        </w:rPr>
        <w:t>bound rubber</w:t>
      </w:r>
      <w:r>
        <w:t xml:space="preserve"> for elastomer nanocomposites) and the other, that appears in the bilayer, </w:t>
      </w:r>
      <w:r w:rsidRPr="00C661BC">
        <w:rPr>
          <w:i/>
        </w:rPr>
        <w:t>bulk-like</w:t>
      </w:r>
      <w:r>
        <w:t>.  Examine the plots of figure 2 and explain how the one and two regime models are supported.</w:t>
      </w:r>
    </w:p>
    <w:p w14:paraId="54A48CB0" w14:textId="77777777" w:rsidR="005966E2" w:rsidRPr="00C661BC" w:rsidRDefault="005966E2" w:rsidP="005966E2">
      <w:pPr>
        <w:pStyle w:val="ListParagraph"/>
        <w:numPr>
          <w:ilvl w:val="0"/>
          <w:numId w:val="25"/>
        </w:numPr>
      </w:pPr>
      <w:r w:rsidRPr="00C661BC">
        <w:t>Rolle studied P2VP</w:t>
      </w:r>
      <w:r>
        <w:t xml:space="preserve"> polymer (shown above) intercalated in </w:t>
      </w:r>
      <w:r w:rsidRPr="00C661BC">
        <w:t>a synthetic clay mineral named fluorohectorite</w:t>
      </w:r>
      <w:r>
        <w:t xml:space="preserve"> (</w:t>
      </w:r>
      <w:proofErr w:type="spellStart"/>
      <w:r>
        <w:t>Hec</w:t>
      </w:r>
      <w:proofErr w:type="spellEnd"/>
      <w:r>
        <w:t>).  The polymer has a “</w:t>
      </w:r>
      <w:r w:rsidRPr="00A17287">
        <w:rPr>
          <w:i/>
        </w:rPr>
        <w:t>contour length</w:t>
      </w:r>
      <w:r>
        <w:t xml:space="preserve">” of 90nm (360 monomers) with </w:t>
      </w:r>
      <w:proofErr w:type="spellStart"/>
      <w:r w:rsidRPr="00A17287">
        <w:rPr>
          <w:i/>
        </w:rPr>
        <w:t>R</w:t>
      </w:r>
      <w:r w:rsidRPr="00A17287">
        <w:rPr>
          <w:vertAlign w:val="subscript"/>
        </w:rPr>
        <w:t>g</w:t>
      </w:r>
      <w:proofErr w:type="spellEnd"/>
      <w:r>
        <w:t xml:space="preserve"> = 13nm.  The galley height for the monolayer is 1.3nm and for the bilayer 2nm.  The lateral size of the </w:t>
      </w:r>
      <w:proofErr w:type="spellStart"/>
      <w:r>
        <w:t>Hec</w:t>
      </w:r>
      <w:proofErr w:type="spellEnd"/>
      <w:r>
        <w:t xml:space="preserve"> sheets is 340nm.  What is the cause of the large shift in </w:t>
      </w:r>
      <w:proofErr w:type="spellStart"/>
      <w:r w:rsidRPr="008E3257">
        <w:rPr>
          <w:i/>
        </w:rPr>
        <w:t>T</w:t>
      </w:r>
      <w:r w:rsidRPr="008E3257">
        <w:rPr>
          <w:vertAlign w:val="subscript"/>
        </w:rPr>
        <w:t>g</w:t>
      </w:r>
      <w:proofErr w:type="spellEnd"/>
      <w:r>
        <w:t>?  Make a cartoon to support your reasoning.  Can your cartoon indicate a reason for the observation of two thermal regimes in the bilayer samples?</w:t>
      </w:r>
    </w:p>
    <w:p w14:paraId="47B60BBC" w14:textId="77777777" w:rsidR="005966E2" w:rsidRDefault="005966E2" w:rsidP="005966E2">
      <w:pPr>
        <w:pStyle w:val="ListParagraph"/>
        <w:numPr>
          <w:ilvl w:val="0"/>
          <w:numId w:val="25"/>
        </w:numPr>
      </w:pPr>
      <w:r>
        <w:t xml:space="preserve">Rolle obtained XPCS data (like dynamic light scattering data for X-rays) which resulted in the following decay curves and relaxation times.  The data is taken at a diffraction peak associated with motion of the </w:t>
      </w:r>
      <w:proofErr w:type="spellStart"/>
      <w:r>
        <w:t>Hec</w:t>
      </w:r>
      <w:proofErr w:type="spellEnd"/>
      <w:r>
        <w:t xml:space="preserve"> layers.  Explain what </w:t>
      </w:r>
      <w:r w:rsidRPr="009312FB">
        <w:rPr>
          <w:i/>
        </w:rPr>
        <w:t>g</w:t>
      </w:r>
      <w:r w:rsidRPr="009312FB">
        <w:rPr>
          <w:vertAlign w:val="subscript"/>
        </w:rPr>
        <w:t>2</w:t>
      </w:r>
      <w:r>
        <w:t>(</w:t>
      </w:r>
      <w:r w:rsidRPr="009312FB">
        <w:rPr>
          <w:i/>
        </w:rPr>
        <w:t>t</w:t>
      </w:r>
      <w:r>
        <w:t xml:space="preserve">) is and how it can be used to obtain </w:t>
      </w:r>
      <w:r w:rsidRPr="009312FB">
        <w:rPr>
          <w:rFonts w:ascii="Symbol" w:hAnsi="Symbol"/>
          <w:i/>
        </w:rPr>
        <w:t></w:t>
      </w:r>
      <w:r>
        <w:t xml:space="preserve">.  </w:t>
      </w:r>
    </w:p>
    <w:p w14:paraId="2DED164C" w14:textId="77777777" w:rsidR="005966E2" w:rsidRDefault="005966E2" w:rsidP="005966E2">
      <w:pPr>
        <w:pStyle w:val="ListParagraph"/>
        <w:jc w:val="center"/>
      </w:pPr>
      <w:r w:rsidRPr="009312FB">
        <w:rPr>
          <w:noProof/>
        </w:rPr>
        <w:drawing>
          <wp:inline distT="0" distB="0" distL="0" distR="0" wp14:anchorId="3D71E7D1" wp14:editId="55D70156">
            <wp:extent cx="1783457" cy="1347120"/>
            <wp:effectExtent l="0" t="0" r="0" b="0"/>
            <wp:docPr id="9" name="Picture 9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histo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9536" cy="135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9312FB">
        <w:rPr>
          <w:noProof/>
        </w:rPr>
        <w:drawing>
          <wp:inline distT="0" distB="0" distL="0" distR="0" wp14:anchorId="345B13DD" wp14:editId="2515D409">
            <wp:extent cx="1503848" cy="1366156"/>
            <wp:effectExtent l="0" t="0" r="0" b="5715"/>
            <wp:docPr id="10" name="Picture 1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scatter 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877" cy="13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D23C5" w14:textId="77777777" w:rsidR="005966E2" w:rsidRDefault="005966E2" w:rsidP="005966E2">
      <w:pPr>
        <w:pStyle w:val="ListParagraph"/>
        <w:numPr>
          <w:ilvl w:val="0"/>
          <w:numId w:val="25"/>
        </w:numPr>
      </w:pPr>
      <w:r>
        <w:lastRenderedPageBreak/>
        <w:t xml:space="preserve">Why is </w:t>
      </w:r>
      <w:r w:rsidRPr="009312FB">
        <w:rPr>
          <w:rFonts w:ascii="Symbol" w:hAnsi="Symbol"/>
          <w:i/>
        </w:rPr>
        <w:t></w:t>
      </w:r>
      <w:r>
        <w:t xml:space="preserve"> plotted against 1000/</w:t>
      </w:r>
      <w:r w:rsidRPr="009312FB">
        <w:rPr>
          <w:i/>
        </w:rPr>
        <w:t>T</w:t>
      </w:r>
      <w:r>
        <w:t xml:space="preserve">?  What can be obtained from this plot?  On what assumptions does it rely?  Do you think that the assumptions are appropriate for these clay layers?  Rolle uses the following equation </w:t>
      </w:r>
      <w:r w:rsidRPr="00B065BE">
        <w:rPr>
          <w:noProof/>
        </w:rPr>
        <w:drawing>
          <wp:inline distT="0" distB="0" distL="0" distR="0" wp14:anchorId="51743370" wp14:editId="71E6252E">
            <wp:extent cx="2115966" cy="20504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5872" cy="2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with </w:t>
      </w:r>
      <w:r w:rsidRPr="00B065BE">
        <w:rPr>
          <w:rFonts w:ascii="Symbol" w:hAnsi="Symbol"/>
          <w:i/>
        </w:rPr>
        <w:t></w:t>
      </w:r>
      <w:r>
        <w:t xml:space="preserve"> given as an inset to the </w:t>
      </w:r>
      <w:r w:rsidRPr="00B065BE">
        <w:rPr>
          <w:rFonts w:ascii="Symbol" w:hAnsi="Symbol"/>
          <w:i/>
        </w:rPr>
        <w:t></w:t>
      </w:r>
      <w:r>
        <w:t>-plot above.</w:t>
      </w:r>
    </w:p>
    <w:p w14:paraId="0AD22552" w14:textId="77777777" w:rsidR="005966E2" w:rsidRPr="00512ABA" w:rsidRDefault="005966E2" w:rsidP="005966E2">
      <w:pPr>
        <w:pStyle w:val="ListParagraph"/>
        <w:numPr>
          <w:ilvl w:val="0"/>
          <w:numId w:val="25"/>
        </w:numPr>
      </w:pPr>
      <w:r>
        <w:t xml:space="preserve">From the </w:t>
      </w:r>
      <w:r w:rsidRPr="00B065BE">
        <w:rPr>
          <w:rFonts w:ascii="Symbol" w:hAnsi="Symbol"/>
          <w:i/>
        </w:rPr>
        <w:t></w:t>
      </w:r>
      <w:r>
        <w:t xml:space="preserve">-plot what can you say about the activation energy for motion in the two cases?  Does the difference in </w:t>
      </w:r>
      <w:r w:rsidRPr="00B065BE">
        <w:rPr>
          <w:rFonts w:ascii="Symbol" w:hAnsi="Symbol"/>
          <w:i/>
        </w:rPr>
        <w:t></w:t>
      </w:r>
      <w:r>
        <w:t xml:space="preserve"> values correlate with the shifts observed in </w:t>
      </w:r>
      <w:proofErr w:type="spellStart"/>
      <w:r w:rsidRPr="001262E4">
        <w:rPr>
          <w:i/>
        </w:rPr>
        <w:t>T</w:t>
      </w:r>
      <w:r w:rsidRPr="001262E4">
        <w:rPr>
          <w:vertAlign w:val="subscript"/>
        </w:rPr>
        <w:t>g</w:t>
      </w:r>
      <w:proofErr w:type="spellEnd"/>
      <w:r>
        <w:t>?</w:t>
      </w:r>
    </w:p>
    <w:p w14:paraId="047064DB" w14:textId="77777777" w:rsidR="008E6115" w:rsidRDefault="008E6115" w:rsidP="008E6115">
      <w:pPr>
        <w:pStyle w:val="ListParagraph"/>
      </w:pPr>
    </w:p>
    <w:sectPr w:rsidR="008E6115" w:rsidSect="007A1B50">
      <w:footerReference w:type="even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45DA0" w14:textId="77777777" w:rsidR="003C6C84" w:rsidRDefault="003C6C84" w:rsidP="00377FC4">
      <w:r>
        <w:separator/>
      </w:r>
    </w:p>
  </w:endnote>
  <w:endnote w:type="continuationSeparator" w:id="0">
    <w:p w14:paraId="556C6EAA" w14:textId="77777777" w:rsidR="003C6C84" w:rsidRDefault="003C6C84" w:rsidP="00377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56721276"/>
      <w:docPartObj>
        <w:docPartGallery w:val="Page Numbers (Bottom of Page)"/>
        <w:docPartUnique/>
      </w:docPartObj>
    </w:sdtPr>
    <w:sdtContent>
      <w:p w14:paraId="751FDDCF" w14:textId="616A5E26" w:rsidR="00650BF8" w:rsidRDefault="00650BF8" w:rsidP="00650BF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7C85A4" w14:textId="77777777" w:rsidR="00650BF8" w:rsidRDefault="00650BF8" w:rsidP="00377FC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97821851"/>
      <w:docPartObj>
        <w:docPartGallery w:val="Page Numbers (Bottom of Page)"/>
        <w:docPartUnique/>
      </w:docPartObj>
    </w:sdtPr>
    <w:sdtContent>
      <w:p w14:paraId="3CDC1ADF" w14:textId="523B8F7F" w:rsidR="00650BF8" w:rsidRDefault="00650BF8" w:rsidP="00650BF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1D1E8C9" w14:textId="77777777" w:rsidR="00650BF8" w:rsidRDefault="00650BF8" w:rsidP="00377FC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F46B3" w14:textId="77777777" w:rsidR="003C6C84" w:rsidRDefault="003C6C84" w:rsidP="00377FC4">
      <w:r>
        <w:separator/>
      </w:r>
    </w:p>
  </w:footnote>
  <w:footnote w:type="continuationSeparator" w:id="0">
    <w:p w14:paraId="3215E9B0" w14:textId="77777777" w:rsidR="003C6C84" w:rsidRDefault="003C6C84" w:rsidP="00377F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51841"/>
    <w:multiLevelType w:val="hybridMultilevel"/>
    <w:tmpl w:val="F68022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60A4A"/>
    <w:multiLevelType w:val="hybridMultilevel"/>
    <w:tmpl w:val="F68022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45973"/>
    <w:multiLevelType w:val="hybridMultilevel"/>
    <w:tmpl w:val="048E0E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86E92"/>
    <w:multiLevelType w:val="hybridMultilevel"/>
    <w:tmpl w:val="80A242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956DA"/>
    <w:multiLevelType w:val="hybridMultilevel"/>
    <w:tmpl w:val="048E0E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829EB"/>
    <w:multiLevelType w:val="hybridMultilevel"/>
    <w:tmpl w:val="1152B242"/>
    <w:lvl w:ilvl="0" w:tplc="49604A9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3E6EE4"/>
    <w:multiLevelType w:val="hybridMultilevel"/>
    <w:tmpl w:val="80A242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295607"/>
    <w:multiLevelType w:val="hybridMultilevel"/>
    <w:tmpl w:val="7FF68E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A620EA"/>
    <w:multiLevelType w:val="hybridMultilevel"/>
    <w:tmpl w:val="AD4261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5C4AE2"/>
    <w:multiLevelType w:val="hybridMultilevel"/>
    <w:tmpl w:val="80A242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A20B2E"/>
    <w:multiLevelType w:val="hybridMultilevel"/>
    <w:tmpl w:val="2AC8BF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C3DCE"/>
    <w:multiLevelType w:val="hybridMultilevel"/>
    <w:tmpl w:val="256049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E66FA6"/>
    <w:multiLevelType w:val="hybridMultilevel"/>
    <w:tmpl w:val="39B2E364"/>
    <w:lvl w:ilvl="0" w:tplc="A64E88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53F1C2D"/>
    <w:multiLevelType w:val="hybridMultilevel"/>
    <w:tmpl w:val="80A242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8A41B9"/>
    <w:multiLevelType w:val="hybridMultilevel"/>
    <w:tmpl w:val="843C5A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A4795C"/>
    <w:multiLevelType w:val="hybridMultilevel"/>
    <w:tmpl w:val="82E2BD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D13937"/>
    <w:multiLevelType w:val="hybridMultilevel"/>
    <w:tmpl w:val="80A242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733F41"/>
    <w:multiLevelType w:val="hybridMultilevel"/>
    <w:tmpl w:val="692AE5B2"/>
    <w:lvl w:ilvl="0" w:tplc="ECF88B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A7E203C"/>
    <w:multiLevelType w:val="hybridMultilevel"/>
    <w:tmpl w:val="DF4C03E8"/>
    <w:lvl w:ilvl="0" w:tplc="E4229B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CEB3F90"/>
    <w:multiLevelType w:val="hybridMultilevel"/>
    <w:tmpl w:val="80A242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256941"/>
    <w:multiLevelType w:val="hybridMultilevel"/>
    <w:tmpl w:val="843C5A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E06591"/>
    <w:multiLevelType w:val="hybridMultilevel"/>
    <w:tmpl w:val="843C5A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DF46DF"/>
    <w:multiLevelType w:val="hybridMultilevel"/>
    <w:tmpl w:val="E3305B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E22F72"/>
    <w:multiLevelType w:val="hybridMultilevel"/>
    <w:tmpl w:val="80A242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8D1572"/>
    <w:multiLevelType w:val="hybridMultilevel"/>
    <w:tmpl w:val="80A242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6376582">
    <w:abstractNumId w:val="21"/>
  </w:num>
  <w:num w:numId="2" w16cid:durableId="1584530146">
    <w:abstractNumId w:val="20"/>
  </w:num>
  <w:num w:numId="3" w16cid:durableId="1889149649">
    <w:abstractNumId w:val="14"/>
  </w:num>
  <w:num w:numId="4" w16cid:durableId="1619527558">
    <w:abstractNumId w:val="6"/>
  </w:num>
  <w:num w:numId="5" w16cid:durableId="1791438780">
    <w:abstractNumId w:val="7"/>
  </w:num>
  <w:num w:numId="6" w16cid:durableId="454060091">
    <w:abstractNumId w:val="19"/>
  </w:num>
  <w:num w:numId="7" w16cid:durableId="2085838791">
    <w:abstractNumId w:val="13"/>
  </w:num>
  <w:num w:numId="8" w16cid:durableId="1312296383">
    <w:abstractNumId w:val="3"/>
  </w:num>
  <w:num w:numId="9" w16cid:durableId="578102365">
    <w:abstractNumId w:val="9"/>
  </w:num>
  <w:num w:numId="10" w16cid:durableId="1920560136">
    <w:abstractNumId w:val="16"/>
  </w:num>
  <w:num w:numId="11" w16cid:durableId="181358701">
    <w:abstractNumId w:val="23"/>
  </w:num>
  <w:num w:numId="12" w16cid:durableId="279534509">
    <w:abstractNumId w:val="24"/>
  </w:num>
  <w:num w:numId="13" w16cid:durableId="1695035549">
    <w:abstractNumId w:val="22"/>
  </w:num>
  <w:num w:numId="14" w16cid:durableId="405303526">
    <w:abstractNumId w:val="17"/>
  </w:num>
  <w:num w:numId="15" w16cid:durableId="953561887">
    <w:abstractNumId w:val="8"/>
  </w:num>
  <w:num w:numId="16" w16cid:durableId="107940252">
    <w:abstractNumId w:val="18"/>
  </w:num>
  <w:num w:numId="17" w16cid:durableId="1234857557">
    <w:abstractNumId w:val="11"/>
  </w:num>
  <w:num w:numId="18" w16cid:durableId="1187328000">
    <w:abstractNumId w:val="12"/>
  </w:num>
  <w:num w:numId="19" w16cid:durableId="133448064">
    <w:abstractNumId w:val="1"/>
  </w:num>
  <w:num w:numId="20" w16cid:durableId="181553554">
    <w:abstractNumId w:val="0"/>
  </w:num>
  <w:num w:numId="21" w16cid:durableId="755858278">
    <w:abstractNumId w:val="2"/>
  </w:num>
  <w:num w:numId="22" w16cid:durableId="1847551528">
    <w:abstractNumId w:val="4"/>
  </w:num>
  <w:num w:numId="23" w16cid:durableId="293608211">
    <w:abstractNumId w:val="5"/>
  </w:num>
  <w:num w:numId="24" w16cid:durableId="340665412">
    <w:abstractNumId w:val="10"/>
  </w:num>
  <w:num w:numId="25" w16cid:durableId="80131127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171"/>
    <w:rsid w:val="00003E54"/>
    <w:rsid w:val="00006BA2"/>
    <w:rsid w:val="00030795"/>
    <w:rsid w:val="0003336C"/>
    <w:rsid w:val="00033E38"/>
    <w:rsid w:val="00034B77"/>
    <w:rsid w:val="00037342"/>
    <w:rsid w:val="0004444C"/>
    <w:rsid w:val="000530F2"/>
    <w:rsid w:val="00062BCA"/>
    <w:rsid w:val="00067623"/>
    <w:rsid w:val="00072F7D"/>
    <w:rsid w:val="000809A6"/>
    <w:rsid w:val="00090A6A"/>
    <w:rsid w:val="000917B3"/>
    <w:rsid w:val="000A0C52"/>
    <w:rsid w:val="000A60E3"/>
    <w:rsid w:val="000B5A57"/>
    <w:rsid w:val="000C15ED"/>
    <w:rsid w:val="000D6EDA"/>
    <w:rsid w:val="000E4EEF"/>
    <w:rsid w:val="000E633F"/>
    <w:rsid w:val="000F6DBB"/>
    <w:rsid w:val="00101464"/>
    <w:rsid w:val="00102726"/>
    <w:rsid w:val="00120F82"/>
    <w:rsid w:val="00124AE8"/>
    <w:rsid w:val="00126BA2"/>
    <w:rsid w:val="00127C22"/>
    <w:rsid w:val="001326F0"/>
    <w:rsid w:val="00136251"/>
    <w:rsid w:val="00152E2E"/>
    <w:rsid w:val="001543C5"/>
    <w:rsid w:val="001545CE"/>
    <w:rsid w:val="00161363"/>
    <w:rsid w:val="00190399"/>
    <w:rsid w:val="00192CB6"/>
    <w:rsid w:val="0019784B"/>
    <w:rsid w:val="001A1AFC"/>
    <w:rsid w:val="001A24E9"/>
    <w:rsid w:val="001A441A"/>
    <w:rsid w:val="001B679B"/>
    <w:rsid w:val="001C355E"/>
    <w:rsid w:val="001C68D2"/>
    <w:rsid w:val="001D4F07"/>
    <w:rsid w:val="001D5F2E"/>
    <w:rsid w:val="001E11D3"/>
    <w:rsid w:val="001F5982"/>
    <w:rsid w:val="0020113F"/>
    <w:rsid w:val="002057E7"/>
    <w:rsid w:val="00224903"/>
    <w:rsid w:val="00226C91"/>
    <w:rsid w:val="0023603C"/>
    <w:rsid w:val="00244CD2"/>
    <w:rsid w:val="00244EF9"/>
    <w:rsid w:val="00251195"/>
    <w:rsid w:val="002611FB"/>
    <w:rsid w:val="00261642"/>
    <w:rsid w:val="00272259"/>
    <w:rsid w:val="0028489B"/>
    <w:rsid w:val="00285169"/>
    <w:rsid w:val="002A13F3"/>
    <w:rsid w:val="002A4D6C"/>
    <w:rsid w:val="002C543C"/>
    <w:rsid w:val="002C547B"/>
    <w:rsid w:val="002C5F37"/>
    <w:rsid w:val="002D2974"/>
    <w:rsid w:val="002D2B9A"/>
    <w:rsid w:val="002D79EA"/>
    <w:rsid w:val="002E5186"/>
    <w:rsid w:val="002F1CB6"/>
    <w:rsid w:val="003032F0"/>
    <w:rsid w:val="00313949"/>
    <w:rsid w:val="00324FAE"/>
    <w:rsid w:val="00336463"/>
    <w:rsid w:val="0033647B"/>
    <w:rsid w:val="00352ADC"/>
    <w:rsid w:val="00353819"/>
    <w:rsid w:val="0035597D"/>
    <w:rsid w:val="003656E4"/>
    <w:rsid w:val="00377FC4"/>
    <w:rsid w:val="003844C1"/>
    <w:rsid w:val="00394392"/>
    <w:rsid w:val="003A0171"/>
    <w:rsid w:val="003A4764"/>
    <w:rsid w:val="003B164B"/>
    <w:rsid w:val="003B347B"/>
    <w:rsid w:val="003C4EAF"/>
    <w:rsid w:val="003C613B"/>
    <w:rsid w:val="003C6C84"/>
    <w:rsid w:val="003C6ED3"/>
    <w:rsid w:val="003D1050"/>
    <w:rsid w:val="003E2A68"/>
    <w:rsid w:val="003E2DBB"/>
    <w:rsid w:val="003E3B5B"/>
    <w:rsid w:val="003E690E"/>
    <w:rsid w:val="003F1F2D"/>
    <w:rsid w:val="003F60A5"/>
    <w:rsid w:val="004146B8"/>
    <w:rsid w:val="00415632"/>
    <w:rsid w:val="00417A79"/>
    <w:rsid w:val="00420D01"/>
    <w:rsid w:val="004225B4"/>
    <w:rsid w:val="00430B2C"/>
    <w:rsid w:val="00436E5B"/>
    <w:rsid w:val="00440E91"/>
    <w:rsid w:val="0045697B"/>
    <w:rsid w:val="004643D5"/>
    <w:rsid w:val="0047504F"/>
    <w:rsid w:val="00481F7D"/>
    <w:rsid w:val="00482F7A"/>
    <w:rsid w:val="00485297"/>
    <w:rsid w:val="004956DD"/>
    <w:rsid w:val="00497264"/>
    <w:rsid w:val="004B02EF"/>
    <w:rsid w:val="004B09E7"/>
    <w:rsid w:val="004B1170"/>
    <w:rsid w:val="004C4DD1"/>
    <w:rsid w:val="004D6130"/>
    <w:rsid w:val="004F0A13"/>
    <w:rsid w:val="004F1C0F"/>
    <w:rsid w:val="005077EB"/>
    <w:rsid w:val="0051711A"/>
    <w:rsid w:val="005226BF"/>
    <w:rsid w:val="0052316B"/>
    <w:rsid w:val="00525E1C"/>
    <w:rsid w:val="005263C5"/>
    <w:rsid w:val="00530083"/>
    <w:rsid w:val="005308DB"/>
    <w:rsid w:val="00530EFA"/>
    <w:rsid w:val="00531B07"/>
    <w:rsid w:val="005331B0"/>
    <w:rsid w:val="00533409"/>
    <w:rsid w:val="005500B3"/>
    <w:rsid w:val="0056045F"/>
    <w:rsid w:val="00571A3D"/>
    <w:rsid w:val="0057245E"/>
    <w:rsid w:val="00576E27"/>
    <w:rsid w:val="0058186A"/>
    <w:rsid w:val="00593307"/>
    <w:rsid w:val="00594BF8"/>
    <w:rsid w:val="005966E2"/>
    <w:rsid w:val="00596DA5"/>
    <w:rsid w:val="005A36DD"/>
    <w:rsid w:val="005A581F"/>
    <w:rsid w:val="005B1FAF"/>
    <w:rsid w:val="005D21EC"/>
    <w:rsid w:val="005D78A9"/>
    <w:rsid w:val="005E43EB"/>
    <w:rsid w:val="005E6118"/>
    <w:rsid w:val="005E7CB2"/>
    <w:rsid w:val="005F0658"/>
    <w:rsid w:val="005F1DF0"/>
    <w:rsid w:val="005F2BF6"/>
    <w:rsid w:val="005F48BE"/>
    <w:rsid w:val="005F6B05"/>
    <w:rsid w:val="005F6F6A"/>
    <w:rsid w:val="0060088E"/>
    <w:rsid w:val="00616FD8"/>
    <w:rsid w:val="00623088"/>
    <w:rsid w:val="00623C7B"/>
    <w:rsid w:val="0063398F"/>
    <w:rsid w:val="006435DC"/>
    <w:rsid w:val="00644EA8"/>
    <w:rsid w:val="0064694C"/>
    <w:rsid w:val="006507C9"/>
    <w:rsid w:val="00650BF8"/>
    <w:rsid w:val="00652846"/>
    <w:rsid w:val="00667461"/>
    <w:rsid w:val="006736A0"/>
    <w:rsid w:val="006742D1"/>
    <w:rsid w:val="00675118"/>
    <w:rsid w:val="00677CED"/>
    <w:rsid w:val="0068668D"/>
    <w:rsid w:val="00697CA1"/>
    <w:rsid w:val="006A5EC8"/>
    <w:rsid w:val="006B0859"/>
    <w:rsid w:val="006B14E1"/>
    <w:rsid w:val="006B272A"/>
    <w:rsid w:val="006B3BEC"/>
    <w:rsid w:val="006B678F"/>
    <w:rsid w:val="006C3D14"/>
    <w:rsid w:val="006D093F"/>
    <w:rsid w:val="006D2C66"/>
    <w:rsid w:val="006D5A15"/>
    <w:rsid w:val="006E3837"/>
    <w:rsid w:val="006E5FB2"/>
    <w:rsid w:val="006E7886"/>
    <w:rsid w:val="007064F4"/>
    <w:rsid w:val="00713DC0"/>
    <w:rsid w:val="0071596A"/>
    <w:rsid w:val="00716BD4"/>
    <w:rsid w:val="0072171A"/>
    <w:rsid w:val="0072407B"/>
    <w:rsid w:val="007307AC"/>
    <w:rsid w:val="00733724"/>
    <w:rsid w:val="00733DFF"/>
    <w:rsid w:val="00740965"/>
    <w:rsid w:val="007548B3"/>
    <w:rsid w:val="0075756B"/>
    <w:rsid w:val="007744CB"/>
    <w:rsid w:val="00775AA9"/>
    <w:rsid w:val="00785038"/>
    <w:rsid w:val="00787040"/>
    <w:rsid w:val="00790521"/>
    <w:rsid w:val="00791951"/>
    <w:rsid w:val="007A030C"/>
    <w:rsid w:val="007A1B50"/>
    <w:rsid w:val="007B370E"/>
    <w:rsid w:val="007B7881"/>
    <w:rsid w:val="007B7F8D"/>
    <w:rsid w:val="007C3F3B"/>
    <w:rsid w:val="007E46A5"/>
    <w:rsid w:val="007E77C7"/>
    <w:rsid w:val="0081695A"/>
    <w:rsid w:val="00822E8D"/>
    <w:rsid w:val="00832075"/>
    <w:rsid w:val="00844A8E"/>
    <w:rsid w:val="0084535F"/>
    <w:rsid w:val="00853C95"/>
    <w:rsid w:val="008629AE"/>
    <w:rsid w:val="008647CE"/>
    <w:rsid w:val="00880414"/>
    <w:rsid w:val="00880652"/>
    <w:rsid w:val="008947E5"/>
    <w:rsid w:val="008A6C81"/>
    <w:rsid w:val="008A6F14"/>
    <w:rsid w:val="008A75C5"/>
    <w:rsid w:val="008B2F88"/>
    <w:rsid w:val="008B4550"/>
    <w:rsid w:val="008C0423"/>
    <w:rsid w:val="008C25FE"/>
    <w:rsid w:val="008C382D"/>
    <w:rsid w:val="008C4E55"/>
    <w:rsid w:val="008D1BA1"/>
    <w:rsid w:val="008D1CA7"/>
    <w:rsid w:val="008D1DED"/>
    <w:rsid w:val="008D322E"/>
    <w:rsid w:val="008E6115"/>
    <w:rsid w:val="009040F3"/>
    <w:rsid w:val="00916C35"/>
    <w:rsid w:val="009305E3"/>
    <w:rsid w:val="00934EB5"/>
    <w:rsid w:val="0093632C"/>
    <w:rsid w:val="00936F5E"/>
    <w:rsid w:val="009542D9"/>
    <w:rsid w:val="00955D0B"/>
    <w:rsid w:val="00957676"/>
    <w:rsid w:val="009660D9"/>
    <w:rsid w:val="00987C5E"/>
    <w:rsid w:val="00995E7B"/>
    <w:rsid w:val="00996166"/>
    <w:rsid w:val="009A62CB"/>
    <w:rsid w:val="009A6B73"/>
    <w:rsid w:val="009B5A76"/>
    <w:rsid w:val="009E02EB"/>
    <w:rsid w:val="009F0FF8"/>
    <w:rsid w:val="00A046A2"/>
    <w:rsid w:val="00A0787C"/>
    <w:rsid w:val="00A12641"/>
    <w:rsid w:val="00A22105"/>
    <w:rsid w:val="00A27F33"/>
    <w:rsid w:val="00A3346B"/>
    <w:rsid w:val="00A41948"/>
    <w:rsid w:val="00A52C0D"/>
    <w:rsid w:val="00A53A76"/>
    <w:rsid w:val="00A53E34"/>
    <w:rsid w:val="00A54724"/>
    <w:rsid w:val="00A549F2"/>
    <w:rsid w:val="00A71279"/>
    <w:rsid w:val="00A7224F"/>
    <w:rsid w:val="00A84F74"/>
    <w:rsid w:val="00AA1F4F"/>
    <w:rsid w:val="00AA63B2"/>
    <w:rsid w:val="00AA6CD0"/>
    <w:rsid w:val="00AC7928"/>
    <w:rsid w:val="00AD1F06"/>
    <w:rsid w:val="00AE4E0B"/>
    <w:rsid w:val="00AF4E6A"/>
    <w:rsid w:val="00AF5835"/>
    <w:rsid w:val="00AF6253"/>
    <w:rsid w:val="00B07C44"/>
    <w:rsid w:val="00B11858"/>
    <w:rsid w:val="00B169F8"/>
    <w:rsid w:val="00B233FD"/>
    <w:rsid w:val="00B32396"/>
    <w:rsid w:val="00B34A92"/>
    <w:rsid w:val="00B36A9C"/>
    <w:rsid w:val="00B431B2"/>
    <w:rsid w:val="00B46BA2"/>
    <w:rsid w:val="00B47949"/>
    <w:rsid w:val="00B605ED"/>
    <w:rsid w:val="00B64EC6"/>
    <w:rsid w:val="00B67DBF"/>
    <w:rsid w:val="00B71EE9"/>
    <w:rsid w:val="00B727CC"/>
    <w:rsid w:val="00B7578E"/>
    <w:rsid w:val="00B774D5"/>
    <w:rsid w:val="00B86EF5"/>
    <w:rsid w:val="00B9201B"/>
    <w:rsid w:val="00BA005F"/>
    <w:rsid w:val="00BA2C92"/>
    <w:rsid w:val="00BB63F1"/>
    <w:rsid w:val="00BC1E32"/>
    <w:rsid w:val="00BC37BC"/>
    <w:rsid w:val="00BC4CA3"/>
    <w:rsid w:val="00BC6DF3"/>
    <w:rsid w:val="00BC6FA1"/>
    <w:rsid w:val="00BD6964"/>
    <w:rsid w:val="00BD79C2"/>
    <w:rsid w:val="00BE5A8D"/>
    <w:rsid w:val="00BF3846"/>
    <w:rsid w:val="00C00BC2"/>
    <w:rsid w:val="00C07141"/>
    <w:rsid w:val="00C076DC"/>
    <w:rsid w:val="00C07848"/>
    <w:rsid w:val="00C10743"/>
    <w:rsid w:val="00C144AC"/>
    <w:rsid w:val="00C27250"/>
    <w:rsid w:val="00C33E17"/>
    <w:rsid w:val="00C42560"/>
    <w:rsid w:val="00C427CB"/>
    <w:rsid w:val="00C43DFC"/>
    <w:rsid w:val="00C64B7F"/>
    <w:rsid w:val="00C64CEF"/>
    <w:rsid w:val="00C703B5"/>
    <w:rsid w:val="00C76175"/>
    <w:rsid w:val="00C7737D"/>
    <w:rsid w:val="00C83BF4"/>
    <w:rsid w:val="00C853F8"/>
    <w:rsid w:val="00C979C1"/>
    <w:rsid w:val="00CA3395"/>
    <w:rsid w:val="00CA70BB"/>
    <w:rsid w:val="00CC034D"/>
    <w:rsid w:val="00CC2195"/>
    <w:rsid w:val="00CC344C"/>
    <w:rsid w:val="00CC5B2E"/>
    <w:rsid w:val="00CC5F0C"/>
    <w:rsid w:val="00CD246D"/>
    <w:rsid w:val="00CD4732"/>
    <w:rsid w:val="00CE3E12"/>
    <w:rsid w:val="00D00DC9"/>
    <w:rsid w:val="00D01058"/>
    <w:rsid w:val="00D063EF"/>
    <w:rsid w:val="00D150D4"/>
    <w:rsid w:val="00D22855"/>
    <w:rsid w:val="00D234C5"/>
    <w:rsid w:val="00D234CF"/>
    <w:rsid w:val="00D23A3A"/>
    <w:rsid w:val="00D248CE"/>
    <w:rsid w:val="00D41393"/>
    <w:rsid w:val="00D46AAF"/>
    <w:rsid w:val="00D46EA3"/>
    <w:rsid w:val="00D50ED9"/>
    <w:rsid w:val="00D51760"/>
    <w:rsid w:val="00D5219E"/>
    <w:rsid w:val="00D63568"/>
    <w:rsid w:val="00D63874"/>
    <w:rsid w:val="00D732F6"/>
    <w:rsid w:val="00D77FB4"/>
    <w:rsid w:val="00D83E05"/>
    <w:rsid w:val="00D93CED"/>
    <w:rsid w:val="00D9425D"/>
    <w:rsid w:val="00DA0AF0"/>
    <w:rsid w:val="00DA136A"/>
    <w:rsid w:val="00DA4520"/>
    <w:rsid w:val="00DA6A5B"/>
    <w:rsid w:val="00DB4496"/>
    <w:rsid w:val="00DB71E1"/>
    <w:rsid w:val="00DC49AB"/>
    <w:rsid w:val="00DC57F8"/>
    <w:rsid w:val="00DE2D81"/>
    <w:rsid w:val="00DE6EAB"/>
    <w:rsid w:val="00DF7072"/>
    <w:rsid w:val="00E03DA1"/>
    <w:rsid w:val="00E04039"/>
    <w:rsid w:val="00E21730"/>
    <w:rsid w:val="00E30ECA"/>
    <w:rsid w:val="00E406FD"/>
    <w:rsid w:val="00E40EF5"/>
    <w:rsid w:val="00E4563D"/>
    <w:rsid w:val="00E507F5"/>
    <w:rsid w:val="00E740A7"/>
    <w:rsid w:val="00E75957"/>
    <w:rsid w:val="00E8149C"/>
    <w:rsid w:val="00E939F2"/>
    <w:rsid w:val="00EB14B5"/>
    <w:rsid w:val="00EB680B"/>
    <w:rsid w:val="00EC6758"/>
    <w:rsid w:val="00ED029E"/>
    <w:rsid w:val="00ED6BAF"/>
    <w:rsid w:val="00ED7339"/>
    <w:rsid w:val="00EF129A"/>
    <w:rsid w:val="00EF5448"/>
    <w:rsid w:val="00EF5A3F"/>
    <w:rsid w:val="00EF6B9B"/>
    <w:rsid w:val="00F15340"/>
    <w:rsid w:val="00F15501"/>
    <w:rsid w:val="00F2313D"/>
    <w:rsid w:val="00F23EA8"/>
    <w:rsid w:val="00F2730C"/>
    <w:rsid w:val="00F413DC"/>
    <w:rsid w:val="00F41C88"/>
    <w:rsid w:val="00F4400E"/>
    <w:rsid w:val="00F53CAA"/>
    <w:rsid w:val="00F55730"/>
    <w:rsid w:val="00F5615B"/>
    <w:rsid w:val="00F5638D"/>
    <w:rsid w:val="00F65B0C"/>
    <w:rsid w:val="00F66F9B"/>
    <w:rsid w:val="00F86B2A"/>
    <w:rsid w:val="00F91932"/>
    <w:rsid w:val="00F93F34"/>
    <w:rsid w:val="00FA1DBB"/>
    <w:rsid w:val="00FA7DE7"/>
    <w:rsid w:val="00FB2326"/>
    <w:rsid w:val="00FC4D60"/>
    <w:rsid w:val="00FD7EAA"/>
    <w:rsid w:val="00FE1916"/>
    <w:rsid w:val="00FE2A49"/>
    <w:rsid w:val="00FF25FD"/>
    <w:rsid w:val="00FF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57CE0"/>
  <w15:chartTrackingRefBased/>
  <w15:docId w15:val="{2E2441DB-4BE2-0244-A788-9F4AA3B32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370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347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79C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D79C2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377F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7FC4"/>
  </w:style>
  <w:style w:type="character" w:styleId="PageNumber">
    <w:name w:val="page number"/>
    <w:basedOn w:val="DefaultParagraphFont"/>
    <w:uiPriority w:val="99"/>
    <w:semiHidden/>
    <w:unhideWhenUsed/>
    <w:rsid w:val="00377FC4"/>
  </w:style>
  <w:style w:type="character" w:customStyle="1" w:styleId="Heading1Char">
    <w:name w:val="Heading 1 Char"/>
    <w:basedOn w:val="DefaultParagraphFont"/>
    <w:link w:val="Heading1"/>
    <w:uiPriority w:val="9"/>
    <w:rsid w:val="003B34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97C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7CA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E2A4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2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6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2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7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4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89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01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41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81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8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9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6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8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9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04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0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1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4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2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31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7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86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89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x.doi.org/10.1021/acs.macromol.0c02818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eaucag@uc.edu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974</Words>
  <Characters>5557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beaucage</dc:creator>
  <cp:keywords/>
  <dc:description/>
  <cp:lastModifiedBy>Beaucage, Gregory (beaucag)</cp:lastModifiedBy>
  <cp:revision>5</cp:revision>
  <cp:lastPrinted>2022-04-07T19:18:00Z</cp:lastPrinted>
  <dcterms:created xsi:type="dcterms:W3CDTF">2023-04-19T03:06:00Z</dcterms:created>
  <dcterms:modified xsi:type="dcterms:W3CDTF">2023-04-19T03:21:00Z</dcterms:modified>
</cp:coreProperties>
</file>