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5316" w14:textId="352695C2"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Homework </w:t>
      </w:r>
      <w:r w:rsidR="00293E69">
        <w:rPr>
          <w:rFonts w:ascii="Times New Roman" w:hAnsi="Times New Roman" w:cs="Times New Roman"/>
          <w:b/>
          <w:bCs/>
        </w:rPr>
        <w:t>8</w:t>
      </w:r>
    </w:p>
    <w:p w14:paraId="443E24AB" w14:textId="7E1F081F"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Polymer Physics 202</w:t>
      </w:r>
      <w:r w:rsidR="00DE5327">
        <w:rPr>
          <w:rFonts w:ascii="Times New Roman" w:hAnsi="Times New Roman" w:cs="Times New Roman"/>
          <w:b/>
          <w:bCs/>
        </w:rPr>
        <w:t>4</w:t>
      </w:r>
    </w:p>
    <w:p w14:paraId="1F119E5F" w14:textId="0CE0C4F1" w:rsidR="004F6059" w:rsidRPr="00971D50" w:rsidRDefault="004F6059" w:rsidP="004F6059">
      <w:pPr>
        <w:jc w:val="center"/>
        <w:rPr>
          <w:rFonts w:ascii="Times New Roman" w:hAnsi="Times New Roman" w:cs="Times New Roman"/>
          <w:b/>
          <w:bCs/>
        </w:rPr>
      </w:pPr>
      <w:r w:rsidRPr="00971D50">
        <w:rPr>
          <w:rFonts w:ascii="Times New Roman" w:hAnsi="Times New Roman" w:cs="Times New Roman"/>
          <w:b/>
          <w:bCs/>
        </w:rPr>
        <w:t xml:space="preserve">Due Tuesday </w:t>
      </w:r>
      <w:r w:rsidR="00293E69">
        <w:rPr>
          <w:rFonts w:ascii="Times New Roman" w:hAnsi="Times New Roman" w:cs="Times New Roman"/>
          <w:b/>
          <w:bCs/>
        </w:rPr>
        <w:t>March 5</w:t>
      </w:r>
      <w:r w:rsidRPr="00971D50">
        <w:rPr>
          <w:rFonts w:ascii="Times New Roman" w:hAnsi="Times New Roman" w:cs="Times New Roman"/>
          <w:b/>
          <w:bCs/>
        </w:rPr>
        <w:t xml:space="preserve"> at noon</w:t>
      </w:r>
    </w:p>
    <w:p w14:paraId="01F56BB9" w14:textId="4A35B3FD" w:rsidR="004F6059" w:rsidRDefault="004F6059" w:rsidP="004F6059">
      <w:pPr>
        <w:jc w:val="center"/>
        <w:rPr>
          <w:rFonts w:ascii="Times New Roman" w:hAnsi="Times New Roman" w:cs="Times New Roman"/>
        </w:rPr>
      </w:pPr>
      <w:r>
        <w:rPr>
          <w:rFonts w:ascii="Times New Roman" w:hAnsi="Times New Roman" w:cs="Times New Roman"/>
        </w:rPr>
        <w:t>(</w:t>
      </w:r>
      <w:r w:rsidRPr="00D049AF">
        <w:rPr>
          <w:rFonts w:ascii="Times New Roman" w:hAnsi="Times New Roman" w:cs="Times New Roman"/>
          <w:b/>
          <w:bCs/>
          <w:u w:val="single"/>
        </w:rPr>
        <w:t>pdf</w:t>
      </w:r>
      <w:r w:rsidRPr="00D049AF">
        <w:rPr>
          <w:rFonts w:ascii="Times New Roman" w:hAnsi="Times New Roman" w:cs="Times New Roman"/>
          <w:b/>
          <w:bCs/>
        </w:rPr>
        <w:t xml:space="preserve"> </w:t>
      </w:r>
      <w:r w:rsidR="00BA3651">
        <w:rPr>
          <w:rFonts w:ascii="Times New Roman" w:hAnsi="Times New Roman" w:cs="Times New Roman"/>
        </w:rPr>
        <w:t>file</w:t>
      </w:r>
      <w:r>
        <w:rPr>
          <w:rFonts w:ascii="Times New Roman" w:hAnsi="Times New Roman" w:cs="Times New Roman"/>
        </w:rPr>
        <w:t xml:space="preserve"> should be called: </w:t>
      </w:r>
      <w:r w:rsidRPr="004F6059">
        <w:rPr>
          <w:rFonts w:ascii="Times New Roman" w:hAnsi="Times New Roman" w:cs="Times New Roman"/>
          <w:b/>
          <w:bCs/>
        </w:rPr>
        <w:t xml:space="preserve">HW </w:t>
      </w:r>
      <w:r w:rsidR="00DE5327">
        <w:rPr>
          <w:rFonts w:ascii="Times New Roman" w:hAnsi="Times New Roman" w:cs="Times New Roman"/>
          <w:b/>
          <w:bCs/>
        </w:rPr>
        <w:t>4</w:t>
      </w:r>
      <w:r w:rsidRPr="004F6059">
        <w:rPr>
          <w:rFonts w:ascii="Times New Roman" w:hAnsi="Times New Roman" w:cs="Times New Roman"/>
          <w:b/>
          <w:bCs/>
        </w:rPr>
        <w:t xml:space="preserve"> Group x Last Name_Name_Name_Name.pdf</w:t>
      </w:r>
      <w:r>
        <w:rPr>
          <w:rFonts w:ascii="Times New Roman" w:hAnsi="Times New Roman" w:cs="Times New Roman"/>
        </w:rPr>
        <w:t>)</w:t>
      </w:r>
    </w:p>
    <w:p w14:paraId="1E591AC4" w14:textId="44728B4C" w:rsidR="003A0171" w:rsidRDefault="003A0171" w:rsidP="00AF0F5D">
      <w:pPr>
        <w:jc w:val="both"/>
        <w:rPr>
          <w:rFonts w:ascii="Times New Roman" w:hAnsi="Times New Roman" w:cs="Times New Roman"/>
        </w:rPr>
      </w:pPr>
    </w:p>
    <w:p w14:paraId="7956CA3B" w14:textId="460E59C8" w:rsidR="00186784" w:rsidRDefault="00293E69" w:rsidP="00EC5973">
      <w:pPr>
        <w:jc w:val="both"/>
        <w:rPr>
          <w:rFonts w:ascii="Times New Roman" w:hAnsi="Times New Roman" w:cs="Times New Roman"/>
        </w:rPr>
      </w:pPr>
      <w:r>
        <w:rPr>
          <w:rFonts w:ascii="Times New Roman" w:hAnsi="Times New Roman" w:cs="Times New Roman"/>
        </w:rPr>
        <w:t xml:space="preserve">A polymer network immersed in a </w:t>
      </w:r>
      <w:r w:rsidR="00536B7A">
        <w:rPr>
          <w:rFonts w:ascii="Times New Roman" w:hAnsi="Times New Roman" w:cs="Times New Roman"/>
        </w:rPr>
        <w:t>compatible solvent swell</w:t>
      </w:r>
      <w:r>
        <w:rPr>
          <w:rFonts w:ascii="Times New Roman" w:hAnsi="Times New Roman" w:cs="Times New Roman"/>
        </w:rPr>
        <w:t xml:space="preserve"> into a gel</w:t>
      </w:r>
      <w:r w:rsidR="002811E9">
        <w:rPr>
          <w:rFonts w:ascii="Times New Roman" w:hAnsi="Times New Roman" w:cs="Times New Roman"/>
        </w:rPr>
        <w:t xml:space="preserve">. </w:t>
      </w:r>
      <w:r>
        <w:rPr>
          <w:rFonts w:ascii="Times New Roman" w:hAnsi="Times New Roman" w:cs="Times New Roman"/>
        </w:rPr>
        <w:t xml:space="preserve">Flory considered </w:t>
      </w:r>
      <w:r w:rsidR="00575242">
        <w:rPr>
          <w:rFonts w:ascii="Times New Roman" w:hAnsi="Times New Roman" w:cs="Times New Roman"/>
        </w:rPr>
        <w:t>at equilibrium a</w:t>
      </w:r>
      <w:r>
        <w:rPr>
          <w:rFonts w:ascii="Times New Roman" w:hAnsi="Times New Roman" w:cs="Times New Roman"/>
        </w:rPr>
        <w:t xml:space="preserve"> balance</w:t>
      </w:r>
      <w:r w:rsidR="00575242">
        <w:rPr>
          <w:rFonts w:ascii="Times New Roman" w:hAnsi="Times New Roman" w:cs="Times New Roman"/>
        </w:rPr>
        <w:t xml:space="preserve"> between</w:t>
      </w:r>
      <w:r>
        <w:rPr>
          <w:rFonts w:ascii="Times New Roman" w:hAnsi="Times New Roman" w:cs="Times New Roman"/>
        </w:rPr>
        <w:t xml:space="preserve"> the osmotic swelling and rubber elasticity of the </w:t>
      </w:r>
      <w:r w:rsidR="00575242">
        <w:rPr>
          <w:rFonts w:ascii="Times New Roman" w:hAnsi="Times New Roman" w:cs="Times New Roman"/>
        </w:rPr>
        <w:t xml:space="preserve">stretching </w:t>
      </w:r>
      <w:r>
        <w:rPr>
          <w:rFonts w:ascii="Times New Roman" w:hAnsi="Times New Roman" w:cs="Times New Roman"/>
        </w:rPr>
        <w:t>chains between crosslinks to yield the Flory-</w:t>
      </w:r>
      <w:proofErr w:type="spellStart"/>
      <w:r>
        <w:rPr>
          <w:rFonts w:ascii="Times New Roman" w:hAnsi="Times New Roman" w:cs="Times New Roman"/>
        </w:rPr>
        <w:t>Rehner</w:t>
      </w:r>
      <w:proofErr w:type="spellEnd"/>
      <w:r>
        <w:rPr>
          <w:rFonts w:ascii="Times New Roman" w:hAnsi="Times New Roman" w:cs="Times New Roman"/>
        </w:rPr>
        <w:t xml:space="preserve"> equation,</w:t>
      </w:r>
    </w:p>
    <w:p w14:paraId="26C56484" w14:textId="26AE0361" w:rsidR="00293E69" w:rsidRDefault="00293E69" w:rsidP="00293E69">
      <w:pPr>
        <w:jc w:val="center"/>
        <w:rPr>
          <w:rFonts w:ascii="Times New Roman" w:hAnsi="Times New Roman" w:cs="Times New Roman"/>
        </w:rPr>
      </w:pPr>
      <w:r w:rsidRPr="00293E69">
        <w:rPr>
          <w:rFonts w:ascii="Times New Roman" w:hAnsi="Times New Roman" w:cs="Times New Roman"/>
        </w:rPr>
        <w:drawing>
          <wp:inline distT="0" distB="0" distL="0" distR="0" wp14:anchorId="7CC45A9B" wp14:editId="60E0FB77">
            <wp:extent cx="4454305" cy="532042"/>
            <wp:effectExtent l="0" t="0" r="0" b="1905"/>
            <wp:docPr id="624916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16776" name=""/>
                    <pic:cNvPicPr/>
                  </pic:nvPicPr>
                  <pic:blipFill>
                    <a:blip r:embed="rId7"/>
                    <a:stretch>
                      <a:fillRect/>
                    </a:stretch>
                  </pic:blipFill>
                  <pic:spPr>
                    <a:xfrm>
                      <a:off x="0" y="0"/>
                      <a:ext cx="4642150" cy="554479"/>
                    </a:xfrm>
                    <a:prstGeom prst="rect">
                      <a:avLst/>
                    </a:prstGeom>
                  </pic:spPr>
                </pic:pic>
              </a:graphicData>
            </a:graphic>
          </wp:inline>
        </w:drawing>
      </w:r>
    </w:p>
    <w:p w14:paraId="6C8BF353" w14:textId="28791818" w:rsidR="00293E69" w:rsidRDefault="00293E69" w:rsidP="00EC5973">
      <w:pPr>
        <w:jc w:val="both"/>
        <w:rPr>
          <w:rFonts w:ascii="Times New Roman" w:hAnsi="Times New Roman" w:cs="Times New Roman"/>
        </w:rPr>
      </w:pPr>
      <w:r>
        <w:rPr>
          <w:rFonts w:ascii="Times New Roman" w:hAnsi="Times New Roman" w:cs="Times New Roman"/>
        </w:rPr>
        <w:t xml:space="preserve">Where </w:t>
      </w:r>
      <w:r w:rsidR="00575242" w:rsidRPr="00575242">
        <w:rPr>
          <w:rFonts w:ascii="Symbol" w:hAnsi="Symbol" w:cs="Times New Roman"/>
          <w:i/>
          <w:iCs/>
        </w:rPr>
        <w:t>n</w:t>
      </w:r>
      <w:r w:rsidRPr="00575242">
        <w:rPr>
          <w:rFonts w:ascii="Times New Roman" w:hAnsi="Times New Roman" w:cs="Times New Roman"/>
          <w:vertAlign w:val="subscript"/>
        </w:rPr>
        <w:t>2</w:t>
      </w:r>
      <w:r>
        <w:rPr>
          <w:rFonts w:ascii="Times New Roman" w:hAnsi="Times New Roman" w:cs="Times New Roman"/>
        </w:rPr>
        <w:t xml:space="preserve"> is the volume fraction of poly</w:t>
      </w:r>
      <w:r w:rsidR="00536B7A">
        <w:rPr>
          <w:rFonts w:ascii="Times New Roman" w:hAnsi="Times New Roman" w:cs="Times New Roman"/>
        </w:rPr>
        <w:t>m</w:t>
      </w:r>
      <w:r>
        <w:rPr>
          <w:rFonts w:ascii="Times New Roman" w:hAnsi="Times New Roman" w:cs="Times New Roman"/>
        </w:rPr>
        <w:t xml:space="preserve">er, </w:t>
      </w:r>
      <w:r w:rsidR="00575242" w:rsidRPr="00575242">
        <w:rPr>
          <w:rFonts w:ascii="Symbol" w:hAnsi="Symbol" w:cs="Times New Roman"/>
          <w:i/>
          <w:iCs/>
        </w:rPr>
        <w:t>c</w:t>
      </w:r>
      <w:r w:rsidR="00575242" w:rsidRPr="00575242">
        <w:rPr>
          <w:rFonts w:ascii="Times New Roman" w:hAnsi="Times New Roman" w:cs="Times New Roman"/>
          <w:vertAlign w:val="subscript"/>
        </w:rPr>
        <w:t>1</w:t>
      </w:r>
      <w:r w:rsidR="00575242">
        <w:rPr>
          <w:rFonts w:ascii="Times New Roman" w:hAnsi="Times New Roman" w:cs="Times New Roman"/>
        </w:rPr>
        <w:t xml:space="preserve"> </w:t>
      </w:r>
      <w:r>
        <w:rPr>
          <w:rFonts w:ascii="Times New Roman" w:hAnsi="Times New Roman" w:cs="Times New Roman"/>
        </w:rPr>
        <w:t>is the chi parameter</w:t>
      </w:r>
      <w:r w:rsidR="00575242">
        <w:rPr>
          <w:rFonts w:ascii="Times New Roman" w:hAnsi="Times New Roman" w:cs="Times New Roman"/>
        </w:rPr>
        <w:t xml:space="preserve"> between polymer and solvent</w:t>
      </w:r>
      <w:r>
        <w:rPr>
          <w:rFonts w:ascii="Times New Roman" w:hAnsi="Times New Roman" w:cs="Times New Roman"/>
        </w:rPr>
        <w:t xml:space="preserve">, </w:t>
      </w:r>
      <w:r w:rsidRPr="00575242">
        <w:rPr>
          <w:rFonts w:ascii="Times New Roman" w:hAnsi="Times New Roman" w:cs="Times New Roman"/>
          <w:i/>
          <w:iCs/>
        </w:rPr>
        <w:t>M</w:t>
      </w:r>
      <w:r w:rsidRPr="00575242">
        <w:rPr>
          <w:rFonts w:ascii="Times New Roman" w:hAnsi="Times New Roman" w:cs="Times New Roman"/>
          <w:vertAlign w:val="subscript"/>
        </w:rPr>
        <w:t>c</w:t>
      </w:r>
      <w:r>
        <w:rPr>
          <w:rFonts w:ascii="Times New Roman" w:hAnsi="Times New Roman" w:cs="Times New Roman"/>
        </w:rPr>
        <w:t xml:space="preserve"> is the molecular weight between crosslinks, </w:t>
      </w:r>
      <w:r w:rsidRPr="00575242">
        <w:rPr>
          <w:rFonts w:ascii="Times New Roman" w:hAnsi="Times New Roman" w:cs="Times New Roman"/>
          <w:i/>
          <w:iCs/>
        </w:rPr>
        <w:t>M</w:t>
      </w:r>
      <w:r>
        <w:rPr>
          <w:rFonts w:ascii="Times New Roman" w:hAnsi="Times New Roman" w:cs="Times New Roman"/>
        </w:rPr>
        <w:t xml:space="preserve"> is the molar mass of a Kuhn unit, </w:t>
      </w:r>
      <w:r w:rsidRPr="00575242">
        <w:rPr>
          <w:rFonts w:ascii="Times New Roman" w:hAnsi="Times New Roman" w:cs="Times New Roman"/>
          <w:i/>
          <w:iCs/>
        </w:rPr>
        <w:t>V</w:t>
      </w:r>
      <w:r w:rsidRPr="00575242">
        <w:rPr>
          <w:rFonts w:ascii="Times New Roman" w:hAnsi="Times New Roman" w:cs="Times New Roman"/>
          <w:vertAlign w:val="subscript"/>
        </w:rPr>
        <w:t>1</w:t>
      </w:r>
      <w:r>
        <w:rPr>
          <w:rFonts w:ascii="Times New Roman" w:hAnsi="Times New Roman" w:cs="Times New Roman"/>
        </w:rPr>
        <w:t xml:space="preserve"> is the molar volume of the solvent, </w:t>
      </w:r>
      <w:r w:rsidR="00575242">
        <w:rPr>
          <w:rFonts w:ascii="Times New Roman" w:hAnsi="Times New Roman" w:cs="Times New Roman"/>
        </w:rPr>
        <w:fldChar w:fldCharType="begin"/>
      </w:r>
      <w:r w:rsidR="00575242">
        <w:rPr>
          <w:rFonts w:ascii="Times New Roman" w:hAnsi="Times New Roman" w:cs="Times New Roman"/>
        </w:rPr>
        <w:instrText xml:space="preserve"> EQ \x \to(</w:instrText>
      </w:r>
      <w:r w:rsidR="00575242" w:rsidRPr="00575242">
        <w:rPr>
          <w:rFonts w:ascii="Symbol" w:hAnsi="Symbol" w:cs="Times New Roman"/>
          <w:i/>
          <w:iCs/>
        </w:rPr>
        <w:instrText>n</w:instrText>
      </w:r>
      <w:r w:rsidR="00575242">
        <w:rPr>
          <w:rFonts w:ascii="Times New Roman" w:hAnsi="Times New Roman" w:cs="Times New Roman"/>
        </w:rPr>
        <w:instrText xml:space="preserve">) </w:instrText>
      </w:r>
      <w:r w:rsidR="00575242">
        <w:rPr>
          <w:rFonts w:ascii="Times New Roman" w:hAnsi="Times New Roman" w:cs="Times New Roman"/>
        </w:rPr>
        <w:fldChar w:fldCharType="end"/>
      </w:r>
      <w:r>
        <w:rPr>
          <w:rFonts w:ascii="Times New Roman" w:hAnsi="Times New Roman" w:cs="Times New Roman"/>
        </w:rPr>
        <w:t xml:space="preserve">is the specific </w:t>
      </w:r>
      <w:r w:rsidR="00575242">
        <w:rPr>
          <w:rFonts w:ascii="Times New Roman" w:hAnsi="Times New Roman" w:cs="Times New Roman"/>
        </w:rPr>
        <w:t xml:space="preserve">molar </w:t>
      </w:r>
      <w:r>
        <w:rPr>
          <w:rFonts w:ascii="Times New Roman" w:hAnsi="Times New Roman" w:cs="Times New Roman"/>
        </w:rPr>
        <w:t>volume of the polymer. This can be used to determine the interaction parameter or</w:t>
      </w:r>
      <w:r w:rsidR="00925F8E">
        <w:rPr>
          <w:rFonts w:ascii="Times New Roman" w:hAnsi="Times New Roman" w:cs="Times New Roman"/>
        </w:rPr>
        <w:t xml:space="preserve"> to determine </w:t>
      </w:r>
      <w:r>
        <w:rPr>
          <w:rFonts w:ascii="Times New Roman" w:hAnsi="Times New Roman" w:cs="Times New Roman"/>
        </w:rPr>
        <w:t xml:space="preserve">the molecular weight between crosslinks as shown in Flory’s first book in some detail. </w:t>
      </w:r>
      <w:r w:rsidR="00536B7A">
        <w:rPr>
          <w:rFonts w:ascii="Times New Roman" w:hAnsi="Times New Roman" w:cs="Times New Roman"/>
        </w:rPr>
        <w:t>The Flory-</w:t>
      </w:r>
      <w:proofErr w:type="spellStart"/>
      <w:r w:rsidR="00536B7A">
        <w:rPr>
          <w:rFonts w:ascii="Times New Roman" w:hAnsi="Times New Roman" w:cs="Times New Roman"/>
        </w:rPr>
        <w:t>Rehner</w:t>
      </w:r>
      <w:proofErr w:type="spellEnd"/>
      <w:r w:rsidR="00536B7A">
        <w:rPr>
          <w:rFonts w:ascii="Times New Roman" w:hAnsi="Times New Roman" w:cs="Times New Roman"/>
        </w:rPr>
        <w:t xml:space="preserve"> equation is based on Gaussian chains.</w:t>
      </w:r>
    </w:p>
    <w:p w14:paraId="743E5F5D" w14:textId="77777777" w:rsidR="00536B7A" w:rsidRDefault="00293E69" w:rsidP="00EC5973">
      <w:pPr>
        <w:jc w:val="both"/>
        <w:rPr>
          <w:rFonts w:ascii="Times New Roman" w:hAnsi="Times New Roman" w:cs="Times New Roman"/>
        </w:rPr>
      </w:pPr>
      <w:hyperlink r:id="rId8" w:history="1">
        <w:r w:rsidRPr="00626E41">
          <w:rPr>
            <w:rStyle w:val="Hyperlink"/>
            <w:rFonts w:ascii="Times New Roman" w:hAnsi="Times New Roman" w:cs="Times New Roman"/>
          </w:rPr>
          <w:t>https://www.eng.uc.edu/~beaucag/Classes/Properties/Books/%28George%20Fisher%20Baker%20Non-Resident%20Lec%29%20Paul%20J.%20Flory%20-%20Principles%20of%20Polymer%20Chemistry%20-Cornell%20University%20Press%20%281953%29.pdf</w:t>
        </w:r>
      </w:hyperlink>
      <w:r>
        <w:rPr>
          <w:rFonts w:ascii="Times New Roman" w:hAnsi="Times New Roman" w:cs="Times New Roman"/>
        </w:rPr>
        <w:t xml:space="preserve"> pages 576-584. </w:t>
      </w:r>
    </w:p>
    <w:p w14:paraId="7E200C1D" w14:textId="1975F773" w:rsidR="00293E69" w:rsidRDefault="00293E69" w:rsidP="00EC5973">
      <w:pPr>
        <w:jc w:val="both"/>
        <w:rPr>
          <w:rFonts w:ascii="Times New Roman" w:hAnsi="Times New Roman" w:cs="Times New Roman"/>
        </w:rPr>
      </w:pPr>
      <w:proofErr w:type="spellStart"/>
      <w:r>
        <w:rPr>
          <w:rFonts w:ascii="Times New Roman" w:hAnsi="Times New Roman" w:cs="Times New Roman"/>
        </w:rPr>
        <w:t>deGennes</w:t>
      </w:r>
      <w:proofErr w:type="spellEnd"/>
      <w:r>
        <w:rPr>
          <w:rFonts w:ascii="Times New Roman" w:hAnsi="Times New Roman" w:cs="Times New Roman"/>
        </w:rPr>
        <w:t xml:space="preserve"> revisit</w:t>
      </w:r>
      <w:r w:rsidR="00536B7A">
        <w:rPr>
          <w:rFonts w:ascii="Times New Roman" w:hAnsi="Times New Roman" w:cs="Times New Roman"/>
        </w:rPr>
        <w:t>ed</w:t>
      </w:r>
      <w:r>
        <w:rPr>
          <w:rFonts w:ascii="Times New Roman" w:hAnsi="Times New Roman" w:cs="Times New Roman"/>
        </w:rPr>
        <w:t xml:space="preserve"> this system for a good solvent with the concept of concentration blobs </w:t>
      </w:r>
      <w:r w:rsidR="000801F9">
        <w:rPr>
          <w:rFonts w:ascii="Times New Roman" w:hAnsi="Times New Roman" w:cs="Times New Roman"/>
        </w:rPr>
        <w:t xml:space="preserve">in his book on polymer physics chapter V V.3 pages 152-160.  </w:t>
      </w:r>
    </w:p>
    <w:p w14:paraId="26B23E15" w14:textId="77777777" w:rsidR="00925F8E" w:rsidRDefault="000801F9" w:rsidP="00EC5973">
      <w:pPr>
        <w:jc w:val="both"/>
        <w:rPr>
          <w:rFonts w:ascii="Times New Roman" w:hAnsi="Times New Roman" w:cs="Times New Roman"/>
        </w:rPr>
      </w:pPr>
      <w:hyperlink r:id="rId9" w:history="1">
        <w:r w:rsidRPr="00626E41">
          <w:rPr>
            <w:rStyle w:val="Hyperlink"/>
            <w:rFonts w:ascii="Times New Roman" w:hAnsi="Times New Roman" w:cs="Times New Roman"/>
          </w:rPr>
          <w:t>https://www.eng.uc.edu/~beaucag/Classes/Properties/Books/Pierre-giles%20De%20Gennes%20-%20Scaling%20concepts%20in%20polymer%20physics-Cornell%20University%20Press%20%281979%29.pdf</w:t>
        </w:r>
      </w:hyperlink>
      <w:r>
        <w:rPr>
          <w:rFonts w:ascii="Times New Roman" w:hAnsi="Times New Roman" w:cs="Times New Roman"/>
        </w:rPr>
        <w:t xml:space="preserve"> </w:t>
      </w:r>
    </w:p>
    <w:p w14:paraId="0CAE11E8" w14:textId="776D351B" w:rsidR="000801F9" w:rsidRDefault="00925F8E" w:rsidP="00EC5973">
      <w:pPr>
        <w:jc w:val="both"/>
        <w:rPr>
          <w:rFonts w:ascii="Times New Roman" w:hAnsi="Times New Roman" w:cs="Times New Roman"/>
        </w:rPr>
      </w:pPr>
      <w:proofErr w:type="spellStart"/>
      <w:r>
        <w:rPr>
          <w:rFonts w:ascii="Times New Roman" w:hAnsi="Times New Roman" w:cs="Times New Roman"/>
        </w:rPr>
        <w:t>deGennes</w:t>
      </w:r>
      <w:proofErr w:type="spellEnd"/>
      <w:r>
        <w:rPr>
          <w:rFonts w:ascii="Times New Roman" w:hAnsi="Times New Roman" w:cs="Times New Roman"/>
        </w:rPr>
        <w:t xml:space="preserve">’ </w:t>
      </w:r>
      <w:r w:rsidR="000801F9">
        <w:rPr>
          <w:rFonts w:ascii="Times New Roman" w:hAnsi="Times New Roman" w:cs="Times New Roman"/>
        </w:rPr>
        <w:t xml:space="preserve">Figures below show the </w:t>
      </w:r>
      <w:r w:rsidRPr="00925F8E">
        <w:rPr>
          <w:rFonts w:ascii="Times New Roman" w:hAnsi="Times New Roman" w:cs="Times New Roman"/>
          <w:i/>
          <w:iCs/>
        </w:rPr>
        <w:t>c</w:t>
      </w:r>
      <w:r w:rsidRPr="00925F8E">
        <w:rPr>
          <w:rFonts w:ascii="Times New Roman" w:hAnsi="Times New Roman" w:cs="Times New Roman"/>
          <w:vertAlign w:val="superscript"/>
        </w:rPr>
        <w:t>*</w:t>
      </w:r>
      <w:r>
        <w:rPr>
          <w:rFonts w:ascii="Times New Roman" w:hAnsi="Times New Roman" w:cs="Times New Roman"/>
        </w:rPr>
        <w:t>-</w:t>
      </w:r>
      <w:r w:rsidR="000801F9">
        <w:rPr>
          <w:rFonts w:ascii="Times New Roman" w:hAnsi="Times New Roman" w:cs="Times New Roman"/>
        </w:rPr>
        <w:t xml:space="preserve"> model and the mak</w:t>
      </w:r>
      <w:r w:rsidR="00D85F87">
        <w:rPr>
          <w:rFonts w:ascii="Times New Roman" w:hAnsi="Times New Roman" w:cs="Times New Roman"/>
        </w:rPr>
        <w:t>e</w:t>
      </w:r>
      <w:r w:rsidR="000801F9">
        <w:rPr>
          <w:rFonts w:ascii="Times New Roman" w:hAnsi="Times New Roman" w:cs="Times New Roman"/>
        </w:rPr>
        <w:t>up of polymer networks.</w:t>
      </w:r>
      <w:r>
        <w:rPr>
          <w:rFonts w:ascii="Times New Roman" w:hAnsi="Times New Roman" w:cs="Times New Roman"/>
        </w:rPr>
        <w:t xml:space="preserve"> The </w:t>
      </w:r>
      <w:r w:rsidRPr="00925F8E">
        <w:rPr>
          <w:rFonts w:ascii="Times New Roman" w:hAnsi="Times New Roman" w:cs="Times New Roman"/>
          <w:i/>
          <w:iCs/>
        </w:rPr>
        <w:t>c</w:t>
      </w:r>
      <w:r w:rsidRPr="00925F8E">
        <w:rPr>
          <w:rFonts w:ascii="Times New Roman" w:hAnsi="Times New Roman" w:cs="Times New Roman"/>
          <w:vertAlign w:val="superscript"/>
        </w:rPr>
        <w:t>*</w:t>
      </w:r>
      <w:r>
        <w:rPr>
          <w:rFonts w:ascii="Times New Roman" w:hAnsi="Times New Roman" w:cs="Times New Roman"/>
        </w:rPr>
        <w:t>- model involves considering the chains between crosslinks</w:t>
      </w:r>
      <w:r w:rsidR="00536B7A">
        <w:rPr>
          <w:rFonts w:ascii="Times New Roman" w:hAnsi="Times New Roman" w:cs="Times New Roman"/>
        </w:rPr>
        <w:t xml:space="preserve"> in an equilibrium swollen gel</w:t>
      </w:r>
      <w:r>
        <w:rPr>
          <w:rFonts w:ascii="Times New Roman" w:hAnsi="Times New Roman" w:cs="Times New Roman"/>
        </w:rPr>
        <w:t xml:space="preserve"> as chains at exactly </w:t>
      </w:r>
      <w:r w:rsidRPr="00925F8E">
        <w:rPr>
          <w:rFonts w:ascii="Times New Roman" w:hAnsi="Times New Roman" w:cs="Times New Roman"/>
          <w:i/>
          <w:iCs/>
        </w:rPr>
        <w:t>c</w:t>
      </w:r>
      <w:r w:rsidRPr="00925F8E">
        <w:rPr>
          <w:rFonts w:ascii="Times New Roman" w:hAnsi="Times New Roman" w:cs="Times New Roman"/>
          <w:vertAlign w:val="superscript"/>
        </w:rPr>
        <w:t>*</w:t>
      </w:r>
      <w:r>
        <w:rPr>
          <w:rFonts w:ascii="Times New Roman" w:hAnsi="Times New Roman" w:cs="Times New Roman"/>
        </w:rPr>
        <w:t xml:space="preserve"> concentration and this governs the values of</w:t>
      </w:r>
      <w:r w:rsidR="00536B7A">
        <w:rPr>
          <w:rFonts w:ascii="Times New Roman" w:hAnsi="Times New Roman" w:cs="Times New Roman"/>
        </w:rPr>
        <w:t xml:space="preserve"> the swollen volume fraction</w:t>
      </w:r>
      <w:r>
        <w:rPr>
          <w:rFonts w:ascii="Times New Roman" w:hAnsi="Times New Roman" w:cs="Times New Roman"/>
        </w:rPr>
        <w:t>.</w:t>
      </w:r>
    </w:p>
    <w:p w14:paraId="73BF4C04" w14:textId="5E2C7832" w:rsidR="000801F9" w:rsidRPr="00062D05" w:rsidRDefault="000801F9" w:rsidP="00925F8E">
      <w:pPr>
        <w:jc w:val="center"/>
        <w:rPr>
          <w:rFonts w:ascii="Times New Roman" w:hAnsi="Times New Roman" w:cs="Times New Roman"/>
        </w:rPr>
      </w:pPr>
      <w:r w:rsidRPr="000801F9">
        <w:rPr>
          <w:rFonts w:ascii="Times New Roman" w:hAnsi="Times New Roman" w:cs="Times New Roman"/>
        </w:rPr>
        <w:drawing>
          <wp:inline distT="0" distB="0" distL="0" distR="0" wp14:anchorId="15578300" wp14:editId="144A926F">
            <wp:extent cx="2317687" cy="2160733"/>
            <wp:effectExtent l="0" t="0" r="0" b="0"/>
            <wp:docPr id="1663454606" name="Picture 1" descr="A black and white pattern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54606" name="Picture 1" descr="A black and white pattern with circles&#10;&#10;Description automatically generated"/>
                    <pic:cNvPicPr/>
                  </pic:nvPicPr>
                  <pic:blipFill>
                    <a:blip r:embed="rId10"/>
                    <a:stretch>
                      <a:fillRect/>
                    </a:stretch>
                  </pic:blipFill>
                  <pic:spPr>
                    <a:xfrm>
                      <a:off x="0" y="0"/>
                      <a:ext cx="2336072" cy="2177873"/>
                    </a:xfrm>
                    <a:prstGeom prst="rect">
                      <a:avLst/>
                    </a:prstGeom>
                  </pic:spPr>
                </pic:pic>
              </a:graphicData>
            </a:graphic>
          </wp:inline>
        </w:drawing>
      </w:r>
      <w:r w:rsidRPr="000801F9">
        <w:rPr>
          <w:rFonts w:ascii="Times New Roman" w:hAnsi="Times New Roman" w:cs="Times New Roman"/>
        </w:rPr>
        <w:drawing>
          <wp:inline distT="0" distB="0" distL="0" distR="0" wp14:anchorId="6B0BFCBD" wp14:editId="514BBCE5">
            <wp:extent cx="2743200" cy="1159412"/>
            <wp:effectExtent l="0" t="0" r="0" b="0"/>
            <wp:docPr id="476661402" name="Picture 1" descr="A black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61402" name="Picture 1" descr="A black lines on a white background&#10;&#10;Description automatically generated"/>
                    <pic:cNvPicPr/>
                  </pic:nvPicPr>
                  <pic:blipFill>
                    <a:blip r:embed="rId11"/>
                    <a:stretch>
                      <a:fillRect/>
                    </a:stretch>
                  </pic:blipFill>
                  <pic:spPr>
                    <a:xfrm>
                      <a:off x="0" y="0"/>
                      <a:ext cx="2804998" cy="1185531"/>
                    </a:xfrm>
                    <a:prstGeom prst="rect">
                      <a:avLst/>
                    </a:prstGeom>
                  </pic:spPr>
                </pic:pic>
              </a:graphicData>
            </a:graphic>
          </wp:inline>
        </w:drawing>
      </w:r>
    </w:p>
    <w:p w14:paraId="519A39FB" w14:textId="339B3E40" w:rsidR="00B80875" w:rsidRDefault="00D85F87" w:rsidP="00A65BA7">
      <w:pPr>
        <w:jc w:val="both"/>
        <w:rPr>
          <w:rFonts w:ascii="Times New Roman" w:hAnsi="Times New Roman" w:cs="Times New Roman"/>
        </w:rPr>
      </w:pPr>
      <w:r>
        <w:rPr>
          <w:rFonts w:ascii="Times New Roman" w:hAnsi="Times New Roman" w:cs="Times New Roman"/>
        </w:rPr>
        <w:t xml:space="preserve">The structure of equilibrium swollen gels has been debated extensively since the work of Flory and </w:t>
      </w:r>
      <w:proofErr w:type="spellStart"/>
      <w:r>
        <w:rPr>
          <w:rFonts w:ascii="Times New Roman" w:hAnsi="Times New Roman" w:cs="Times New Roman"/>
        </w:rPr>
        <w:t>Rehner</w:t>
      </w:r>
      <w:proofErr w:type="spellEnd"/>
      <w:r>
        <w:rPr>
          <w:rFonts w:ascii="Times New Roman" w:hAnsi="Times New Roman" w:cs="Times New Roman"/>
        </w:rPr>
        <w:t xml:space="preserve">. Recently, a group at the </w:t>
      </w:r>
      <w:proofErr w:type="spellStart"/>
      <w:r w:rsidRPr="00D85F87">
        <w:rPr>
          <w:rFonts w:ascii="Times New Roman" w:hAnsi="Times New Roman" w:cs="Times New Roman"/>
        </w:rPr>
        <w:t>Institut</w:t>
      </w:r>
      <w:proofErr w:type="spellEnd"/>
      <w:r w:rsidRPr="00D85F87">
        <w:rPr>
          <w:rFonts w:ascii="Times New Roman" w:hAnsi="Times New Roman" w:cs="Times New Roman"/>
        </w:rPr>
        <w:t xml:space="preserve"> </w:t>
      </w:r>
      <w:proofErr w:type="spellStart"/>
      <w:r w:rsidRPr="00D85F87">
        <w:rPr>
          <w:rFonts w:ascii="Times New Roman" w:hAnsi="Times New Roman" w:cs="Times New Roman"/>
        </w:rPr>
        <w:t>Theorie</w:t>
      </w:r>
      <w:proofErr w:type="spellEnd"/>
      <w:r w:rsidRPr="00D85F87">
        <w:rPr>
          <w:rFonts w:ascii="Times New Roman" w:hAnsi="Times New Roman" w:cs="Times New Roman"/>
        </w:rPr>
        <w:t xml:space="preserve"> der </w:t>
      </w:r>
      <w:proofErr w:type="spellStart"/>
      <w:r w:rsidRPr="00D85F87">
        <w:rPr>
          <w:rFonts w:ascii="Times New Roman" w:hAnsi="Times New Roman" w:cs="Times New Roman"/>
        </w:rPr>
        <w:t>Polymere</w:t>
      </w:r>
      <w:proofErr w:type="spellEnd"/>
      <w:r w:rsidRPr="00D85F87">
        <w:rPr>
          <w:rFonts w:ascii="Times New Roman" w:hAnsi="Times New Roman" w:cs="Times New Roman"/>
        </w:rPr>
        <w:t>, Leibniz-</w:t>
      </w:r>
      <w:proofErr w:type="spellStart"/>
      <w:r w:rsidRPr="00D85F87">
        <w:rPr>
          <w:rFonts w:ascii="Times New Roman" w:hAnsi="Times New Roman" w:cs="Times New Roman"/>
        </w:rPr>
        <w:t>Institut</w:t>
      </w:r>
      <w:proofErr w:type="spellEnd"/>
      <w:r w:rsidRPr="00D85F87">
        <w:rPr>
          <w:rFonts w:ascii="Times New Roman" w:hAnsi="Times New Roman" w:cs="Times New Roman"/>
        </w:rPr>
        <w:t xml:space="preserve"> für </w:t>
      </w:r>
      <w:proofErr w:type="spellStart"/>
      <w:r w:rsidRPr="00D85F87">
        <w:rPr>
          <w:rFonts w:ascii="Times New Roman" w:hAnsi="Times New Roman" w:cs="Times New Roman"/>
        </w:rPr>
        <w:t>Polymerforschung</w:t>
      </w:r>
      <w:proofErr w:type="spellEnd"/>
      <w:r w:rsidRPr="00D85F87">
        <w:rPr>
          <w:rFonts w:ascii="Times New Roman" w:hAnsi="Times New Roman" w:cs="Times New Roman"/>
        </w:rPr>
        <w:t xml:space="preserve"> Dresden, Germany</w:t>
      </w:r>
      <w:r>
        <w:rPr>
          <w:rFonts w:ascii="Times New Roman" w:hAnsi="Times New Roman" w:cs="Times New Roman"/>
        </w:rPr>
        <w:t xml:space="preserve"> has published four papers based on coarse grain Monte Carlo simulations and synthesis </w:t>
      </w:r>
      <w:r w:rsidR="00925F8E">
        <w:rPr>
          <w:rFonts w:ascii="Times New Roman" w:hAnsi="Times New Roman" w:cs="Times New Roman"/>
        </w:rPr>
        <w:t>of</w:t>
      </w:r>
      <w:r>
        <w:rPr>
          <w:rFonts w:ascii="Times New Roman" w:hAnsi="Times New Roman" w:cs="Times New Roman"/>
        </w:rPr>
        <w:t xml:space="preserve"> end-linked tetrafunctional star polymers (</w:t>
      </w:r>
      <w:proofErr w:type="spellStart"/>
      <w:r>
        <w:rPr>
          <w:rFonts w:ascii="Times New Roman" w:hAnsi="Times New Roman" w:cs="Times New Roman"/>
        </w:rPr>
        <w:t>deGennes</w:t>
      </w:r>
      <w:proofErr w:type="spellEnd"/>
      <w:r w:rsidR="00925F8E">
        <w:rPr>
          <w:rFonts w:ascii="Times New Roman" w:hAnsi="Times New Roman" w:cs="Times New Roman"/>
        </w:rPr>
        <w:t>’</w:t>
      </w:r>
      <w:r>
        <w:rPr>
          <w:rFonts w:ascii="Times New Roman" w:hAnsi="Times New Roman" w:cs="Times New Roman"/>
        </w:rPr>
        <w:t xml:space="preserve"> </w:t>
      </w:r>
      <w:r w:rsidR="00925F8E">
        <w:rPr>
          <w:rFonts w:ascii="Times New Roman" w:hAnsi="Times New Roman" w:cs="Times New Roman"/>
        </w:rPr>
        <w:t>last</w:t>
      </w:r>
      <w:r>
        <w:rPr>
          <w:rFonts w:ascii="Times New Roman" w:hAnsi="Times New Roman" w:cs="Times New Roman"/>
        </w:rPr>
        <w:t xml:space="preserve"> figure above</w:t>
      </w:r>
      <w:r w:rsidR="00925F8E">
        <w:rPr>
          <w:rFonts w:ascii="Times New Roman" w:hAnsi="Times New Roman" w:cs="Times New Roman"/>
        </w:rPr>
        <w:t>)</w:t>
      </w:r>
      <w:r>
        <w:rPr>
          <w:rFonts w:ascii="Times New Roman" w:hAnsi="Times New Roman" w:cs="Times New Roman"/>
        </w:rPr>
        <w:t xml:space="preserve">, Scholz R, Lang M </w:t>
      </w:r>
      <w:r w:rsidRPr="00D85F87">
        <w:rPr>
          <w:rFonts w:ascii="Times New Roman" w:hAnsi="Times New Roman" w:cs="Times New Roman"/>
          <w:i/>
          <w:iCs/>
        </w:rPr>
        <w:t xml:space="preserve">Structural Characterization of Model Gels under Preparation </w:t>
      </w:r>
      <w:r w:rsidRPr="00D85F87">
        <w:rPr>
          <w:rFonts w:ascii="Times New Roman" w:hAnsi="Times New Roman" w:cs="Times New Roman"/>
          <w:i/>
          <w:iCs/>
        </w:rPr>
        <w:lastRenderedPageBreak/>
        <w:t xml:space="preserve">Conditions and at </w:t>
      </w:r>
      <w:proofErr w:type="spellStart"/>
      <w:r w:rsidRPr="00D85F87">
        <w:rPr>
          <w:rFonts w:ascii="Times New Roman" w:hAnsi="Times New Roman" w:cs="Times New Roman"/>
          <w:i/>
          <w:iCs/>
        </w:rPr>
        <w:t>Sewlling</w:t>
      </w:r>
      <w:proofErr w:type="spellEnd"/>
      <w:r w:rsidRPr="00D85F87">
        <w:rPr>
          <w:rFonts w:ascii="Times New Roman" w:hAnsi="Times New Roman" w:cs="Times New Roman"/>
          <w:i/>
          <w:iCs/>
        </w:rPr>
        <w:t xml:space="preserve"> Equilibrium</w:t>
      </w:r>
      <w:r>
        <w:rPr>
          <w:rFonts w:ascii="Times New Roman" w:hAnsi="Times New Roman" w:cs="Times New Roman"/>
        </w:rPr>
        <w:t xml:space="preserve"> Macromolecules in press (2024) (</w:t>
      </w:r>
      <w:r w:rsidRPr="00D85F87">
        <w:rPr>
          <w:rFonts w:ascii="Times New Roman" w:hAnsi="Times New Roman" w:cs="Times New Roman"/>
        </w:rPr>
        <w:t>https://pubs.acs.org/action/showCitFormats?doi=10.1021/acs.macromol.3c02607&amp;ref=pdf</w:t>
      </w:r>
      <w:r>
        <w:rPr>
          <w:rFonts w:ascii="Times New Roman" w:hAnsi="Times New Roman" w:cs="Times New Roman"/>
        </w:rPr>
        <w:t xml:space="preserve">). Many </w:t>
      </w:r>
      <w:r w:rsidR="00925F8E">
        <w:rPr>
          <w:rFonts w:ascii="Times New Roman" w:hAnsi="Times New Roman" w:cs="Times New Roman"/>
        </w:rPr>
        <w:t xml:space="preserve">literature </w:t>
      </w:r>
      <w:r>
        <w:rPr>
          <w:rFonts w:ascii="Times New Roman" w:hAnsi="Times New Roman" w:cs="Times New Roman"/>
        </w:rPr>
        <w:t xml:space="preserve">studies have focused on neutron scattering using deuterium tagged networks following the schemes shown in </w:t>
      </w:r>
      <w:r w:rsidR="00925F8E">
        <w:rPr>
          <w:rFonts w:ascii="Times New Roman" w:hAnsi="Times New Roman" w:cs="Times New Roman"/>
        </w:rPr>
        <w:t xml:space="preserve">Scholz’s </w:t>
      </w:r>
      <w:r>
        <w:rPr>
          <w:rFonts w:ascii="Times New Roman" w:hAnsi="Times New Roman" w:cs="Times New Roman"/>
        </w:rPr>
        <w:t xml:space="preserve">Figure 1. Scholz’s simulations were performed in another 2024 publication, in this paper he reanalyzes those results by varying the tagging schemes of </w:t>
      </w:r>
      <w:r w:rsidR="00925F8E">
        <w:rPr>
          <w:rFonts w:ascii="Times New Roman" w:hAnsi="Times New Roman" w:cs="Times New Roman"/>
        </w:rPr>
        <w:t>F</w:t>
      </w:r>
      <w:r>
        <w:rPr>
          <w:rFonts w:ascii="Times New Roman" w:hAnsi="Times New Roman" w:cs="Times New Roman"/>
        </w:rPr>
        <w:t xml:space="preserve">igure 1, </w:t>
      </w:r>
      <w:r w:rsidR="00925F8E">
        <w:rPr>
          <w:rFonts w:ascii="Times New Roman" w:hAnsi="Times New Roman" w:cs="Times New Roman"/>
        </w:rPr>
        <w:t xml:space="preserve">and </w:t>
      </w:r>
      <w:r>
        <w:rPr>
          <w:rFonts w:ascii="Times New Roman" w:hAnsi="Times New Roman" w:cs="Times New Roman"/>
        </w:rPr>
        <w:t>Fourier transforming the simulated structure to generate scattered intensity versus scattering vector q, in the graphical abstract, Figures 2, 3, and 5. One advantage of simulation is that the tagging can be performed after the simulation is completed.</w:t>
      </w:r>
      <w:r w:rsidR="00575242">
        <w:rPr>
          <w:rFonts w:ascii="Times New Roman" w:hAnsi="Times New Roman" w:cs="Times New Roman"/>
        </w:rPr>
        <w:t xml:space="preserve"> </w:t>
      </w:r>
      <w:r w:rsidR="0047270C">
        <w:rPr>
          <w:rFonts w:ascii="Times New Roman" w:hAnsi="Times New Roman" w:cs="Times New Roman"/>
        </w:rPr>
        <w:t xml:space="preserve">Schulz uses star polymers of type A and type B differing in contrast which he manipulates.  </w:t>
      </w:r>
      <w:proofErr w:type="gramStart"/>
      <w:r w:rsidR="0047270C">
        <w:rPr>
          <w:rFonts w:ascii="Times New Roman" w:hAnsi="Times New Roman" w:cs="Times New Roman"/>
        </w:rPr>
        <w:t>A stars</w:t>
      </w:r>
      <w:proofErr w:type="gramEnd"/>
      <w:r w:rsidR="0047270C">
        <w:rPr>
          <w:rFonts w:ascii="Times New Roman" w:hAnsi="Times New Roman" w:cs="Times New Roman"/>
        </w:rPr>
        <w:t xml:space="preserve"> bond only with B stars.</w:t>
      </w:r>
    </w:p>
    <w:p w14:paraId="13A81A9F" w14:textId="560CF533" w:rsidR="008D1A8D" w:rsidRPr="00545A94" w:rsidRDefault="00B20F2E" w:rsidP="008A6D92">
      <w:pPr>
        <w:pStyle w:val="ListParagraph"/>
        <w:numPr>
          <w:ilvl w:val="0"/>
          <w:numId w:val="1"/>
        </w:numPr>
        <w:jc w:val="both"/>
        <w:rPr>
          <w:rFonts w:ascii="Times New Roman" w:hAnsi="Times New Roman" w:cs="Times New Roman"/>
        </w:rPr>
      </w:pPr>
      <w:r w:rsidRPr="00545A94">
        <w:rPr>
          <w:rFonts w:ascii="Times New Roman" w:hAnsi="Times New Roman" w:cs="Times New Roman"/>
        </w:rPr>
        <w:t>In equation 3 Schulz assumes that you can linearly sum the scattering contribution of type A and type B stars</w:t>
      </w:r>
      <w:r w:rsidR="0047270C" w:rsidRPr="00545A94">
        <w:rPr>
          <w:rFonts w:ascii="Times New Roman" w:hAnsi="Times New Roman" w:cs="Times New Roman"/>
        </w:rPr>
        <w:t xml:space="preserve">. This ignores correlations between stars which could be either organized, specific interactions, or random, mean field interactions. Specific interactions can be modeled using a structure factor as is done in diffraction and would result in peaks in the scattering data while mean field interactions are modeled using the random phase approximation (RPA). </w:t>
      </w:r>
      <w:r w:rsidR="008D1A8D" w:rsidRPr="00545A94">
        <w:rPr>
          <w:rFonts w:ascii="Times New Roman" w:hAnsi="Times New Roman" w:cs="Times New Roman"/>
        </w:rPr>
        <w:t xml:space="preserve">Slide 43 of Slides 3 gives </w:t>
      </w:r>
      <w:r w:rsidR="00960466" w:rsidRPr="00545A94">
        <w:rPr>
          <w:rFonts w:ascii="Times New Roman" w:hAnsi="Times New Roman" w:cs="Times New Roman"/>
        </w:rPr>
        <w:t>t</w:t>
      </w:r>
      <w:r w:rsidR="008D1A8D" w:rsidRPr="00545A94">
        <w:rPr>
          <w:rFonts w:ascii="Times New Roman" w:hAnsi="Times New Roman" w:cs="Times New Roman"/>
        </w:rPr>
        <w:t>he RPA equation where S(</w:t>
      </w:r>
      <w:r w:rsidR="00960466" w:rsidRPr="00545A94">
        <w:rPr>
          <w:rFonts w:ascii="Times New Roman" w:hAnsi="Times New Roman" w:cs="Times New Roman"/>
        </w:rPr>
        <w:t>q</w:t>
      </w:r>
      <w:r w:rsidR="008D1A8D" w:rsidRPr="00545A94">
        <w:rPr>
          <w:rFonts w:ascii="Times New Roman" w:hAnsi="Times New Roman" w:cs="Times New Roman"/>
        </w:rPr>
        <w:t xml:space="preserve">) is </w:t>
      </w:r>
      <w:r w:rsidR="00960466" w:rsidRPr="00545A94">
        <w:rPr>
          <w:rFonts w:ascii="Times New Roman" w:hAnsi="Times New Roman" w:cs="Times New Roman"/>
        </w:rPr>
        <w:t xml:space="preserve">I(q) for Schulz and </w:t>
      </w:r>
      <w:r w:rsidR="00960466" w:rsidRPr="00545A94">
        <w:rPr>
          <w:rFonts w:ascii="Symbol" w:hAnsi="Symbol" w:cs="Times New Roman"/>
          <w:i/>
          <w:iCs/>
        </w:rPr>
        <w:t>c</w:t>
      </w:r>
      <w:r w:rsidR="00960466" w:rsidRPr="00545A94">
        <w:rPr>
          <w:rFonts w:ascii="Times New Roman" w:hAnsi="Times New Roman" w:cs="Times New Roman"/>
        </w:rPr>
        <w:t xml:space="preserve"> is the Schultz’s </w:t>
      </w:r>
      <w:r w:rsidR="00960466" w:rsidRPr="00545A94">
        <w:rPr>
          <w:rFonts w:ascii="Symbol" w:hAnsi="Symbol" w:cs="Times New Roman"/>
          <w:i/>
          <w:iCs/>
        </w:rPr>
        <w:t>c</w:t>
      </w:r>
      <w:r w:rsidR="00960466" w:rsidRPr="00545A94">
        <w:rPr>
          <w:rFonts w:ascii="Times New Roman" w:hAnsi="Times New Roman" w:cs="Times New Roman"/>
          <w:vertAlign w:val="subscript"/>
        </w:rPr>
        <w:t>1</w:t>
      </w:r>
      <w:r w:rsidR="00960466" w:rsidRPr="00545A94">
        <w:rPr>
          <w:rFonts w:ascii="Times New Roman" w:hAnsi="Times New Roman" w:cs="Times New Roman"/>
        </w:rPr>
        <w:t xml:space="preserve">. </w:t>
      </w:r>
      <w:r w:rsidR="00960466" w:rsidRPr="00545A94">
        <w:rPr>
          <w:rFonts w:ascii="Times New Roman" w:hAnsi="Times New Roman" w:cs="Times New Roman"/>
          <w:i/>
          <w:iCs/>
        </w:rPr>
        <w:t xml:space="preserve">N </w:t>
      </w:r>
      <w:r w:rsidR="00960466" w:rsidRPr="00545A94">
        <w:rPr>
          <w:rFonts w:ascii="Times New Roman" w:hAnsi="Times New Roman" w:cs="Times New Roman"/>
        </w:rPr>
        <w:t xml:space="preserve">is the molecular weight and </w:t>
      </w:r>
      <w:r w:rsidR="00960466" w:rsidRPr="00545A94">
        <w:rPr>
          <w:rFonts w:ascii="Symbol" w:hAnsi="Symbol" w:cs="Times New Roman"/>
          <w:i/>
          <w:iCs/>
        </w:rPr>
        <w:t>f</w:t>
      </w:r>
      <w:r w:rsidR="00960466" w:rsidRPr="00545A94">
        <w:rPr>
          <w:rFonts w:ascii="Times New Roman" w:hAnsi="Times New Roman" w:cs="Times New Roman"/>
        </w:rPr>
        <w:t xml:space="preserve"> is the volume fraction.</w:t>
      </w:r>
    </w:p>
    <w:p w14:paraId="4C874492" w14:textId="1706949C" w:rsidR="008D1A8D" w:rsidRPr="00186784" w:rsidRDefault="008D1A8D" w:rsidP="008D1A8D">
      <w:pPr>
        <w:pStyle w:val="ListParagraph"/>
        <w:jc w:val="both"/>
        <w:rPr>
          <w:rFonts w:ascii="Times New Roman" w:hAnsi="Times New Roman" w:cs="Times New Roman"/>
        </w:rPr>
      </w:pPr>
      <w:r w:rsidRPr="008D1A8D">
        <w:rPr>
          <w:rFonts w:ascii="Times New Roman" w:hAnsi="Times New Roman" w:cs="Times New Roman"/>
        </w:rPr>
        <w:drawing>
          <wp:inline distT="0" distB="0" distL="0" distR="0" wp14:anchorId="727FEC60" wp14:editId="300E355A">
            <wp:extent cx="5943600" cy="714375"/>
            <wp:effectExtent l="0" t="0" r="0" b="0"/>
            <wp:docPr id="15770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8205" name=""/>
                    <pic:cNvPicPr/>
                  </pic:nvPicPr>
                  <pic:blipFill>
                    <a:blip r:embed="rId12"/>
                    <a:stretch>
                      <a:fillRect/>
                    </a:stretch>
                  </pic:blipFill>
                  <pic:spPr>
                    <a:xfrm>
                      <a:off x="0" y="0"/>
                      <a:ext cx="5943600" cy="714375"/>
                    </a:xfrm>
                    <a:prstGeom prst="rect">
                      <a:avLst/>
                    </a:prstGeom>
                  </pic:spPr>
                </pic:pic>
              </a:graphicData>
            </a:graphic>
          </wp:inline>
        </w:drawing>
      </w:r>
    </w:p>
    <w:p w14:paraId="4A27958B" w14:textId="3A2AEA78" w:rsidR="00545A94" w:rsidRDefault="00545A94" w:rsidP="00545A94">
      <w:pPr>
        <w:pStyle w:val="ListParagraph"/>
        <w:jc w:val="both"/>
        <w:rPr>
          <w:rFonts w:ascii="Times New Roman" w:hAnsi="Times New Roman" w:cs="Times New Roman"/>
        </w:rPr>
      </w:pPr>
      <w:r>
        <w:rPr>
          <w:rFonts w:ascii="Times New Roman" w:hAnsi="Times New Roman" w:cs="Times New Roman"/>
        </w:rPr>
        <w:t xml:space="preserve">Work out how the resulting intensity would differ at low and </w:t>
      </w:r>
      <w:proofErr w:type="gramStart"/>
      <w:r>
        <w:rPr>
          <w:rFonts w:ascii="Times New Roman" w:hAnsi="Times New Roman" w:cs="Times New Roman"/>
        </w:rPr>
        <w:t>high-q</w:t>
      </w:r>
      <w:proofErr w:type="gramEnd"/>
      <w:r>
        <w:rPr>
          <w:rFonts w:ascii="Times New Roman" w:hAnsi="Times New Roman" w:cs="Times New Roman"/>
        </w:rPr>
        <w:t xml:space="preserve"> compared to Schulz’s equation 3</w:t>
      </w:r>
      <w:r>
        <w:rPr>
          <w:rFonts w:ascii="Times New Roman" w:hAnsi="Times New Roman" w:cs="Times New Roman"/>
        </w:rPr>
        <w:t xml:space="preserve"> considering that the </w:t>
      </w:r>
      <w:r w:rsidRPr="00545A94">
        <w:rPr>
          <w:rFonts w:ascii="Times New Roman" w:hAnsi="Times New Roman" w:cs="Times New Roman"/>
          <w:i/>
          <w:iCs/>
        </w:rPr>
        <w:t>S</w:t>
      </w:r>
      <w:r>
        <w:rPr>
          <w:rFonts w:ascii="Times New Roman" w:hAnsi="Times New Roman" w:cs="Times New Roman"/>
        </w:rPr>
        <w:t>(q) values are proportional to the contrast</w:t>
      </w:r>
      <w:r>
        <w:rPr>
          <w:rFonts w:ascii="Times New Roman" w:hAnsi="Times New Roman" w:cs="Times New Roman"/>
        </w:rPr>
        <w:t>. Comment on the implications for the conclusions of this paper.</w:t>
      </w:r>
      <w:r>
        <w:rPr>
          <w:rFonts w:ascii="Times New Roman" w:hAnsi="Times New Roman" w:cs="Times New Roman"/>
        </w:rPr>
        <w:t xml:space="preserve"> (The RPA is a harmonic mean while the linear sum of Schulz is an arithmetic mean of the component scattering.)</w:t>
      </w:r>
    </w:p>
    <w:p w14:paraId="779CD1BD" w14:textId="77777777" w:rsidR="00960466" w:rsidRDefault="00960466" w:rsidP="00960466">
      <w:pPr>
        <w:pStyle w:val="ListParagraph"/>
        <w:jc w:val="both"/>
        <w:rPr>
          <w:rFonts w:ascii="Times New Roman" w:hAnsi="Times New Roman" w:cs="Times New Roman"/>
        </w:rPr>
      </w:pPr>
    </w:p>
    <w:p w14:paraId="577E877D" w14:textId="136942D6" w:rsidR="006A555A" w:rsidRDefault="00960466"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2 shows the effect of increasing concentration relative to </w:t>
      </w:r>
      <w:r w:rsidRPr="00960466">
        <w:rPr>
          <w:rFonts w:ascii="Times New Roman" w:hAnsi="Times New Roman" w:cs="Times New Roman"/>
          <w:i/>
          <w:iCs/>
        </w:rPr>
        <w:t>c</w:t>
      </w:r>
      <w:r w:rsidRPr="00960466">
        <w:rPr>
          <w:rFonts w:ascii="Times New Roman" w:hAnsi="Times New Roman" w:cs="Times New Roman"/>
          <w:vertAlign w:val="superscript"/>
        </w:rPr>
        <w:t>*</w:t>
      </w:r>
      <w:r>
        <w:rPr>
          <w:rFonts w:ascii="Times New Roman" w:hAnsi="Times New Roman" w:cs="Times New Roman"/>
        </w:rPr>
        <w:t xml:space="preserve"> on the star polymer and star polymer networks</w:t>
      </w:r>
      <w:r w:rsidR="008D1A8D">
        <w:rPr>
          <w:rFonts w:ascii="Times New Roman" w:hAnsi="Times New Roman" w:cs="Times New Roman"/>
        </w:rPr>
        <w:t>.</w:t>
      </w:r>
      <w:r w:rsidR="007B62FE">
        <w:rPr>
          <w:rFonts w:ascii="Times New Roman" w:hAnsi="Times New Roman" w:cs="Times New Roman"/>
        </w:rPr>
        <w:t xml:space="preserve"> What is the impact of concentration on the correlation length (concentration blob size) expected from the scaling theory in class?  Derive this expression.  Does the data show this behavior?  </w:t>
      </w:r>
    </w:p>
    <w:p w14:paraId="2C20A918" w14:textId="77777777" w:rsidR="006A555A" w:rsidRPr="006A555A" w:rsidRDefault="006A555A" w:rsidP="006A555A">
      <w:pPr>
        <w:pStyle w:val="ListParagraph"/>
        <w:rPr>
          <w:rFonts w:ascii="Times New Roman" w:hAnsi="Times New Roman" w:cs="Times New Roman"/>
          <w:b/>
          <w:bCs/>
        </w:rPr>
      </w:pPr>
    </w:p>
    <w:p w14:paraId="6BB7F530" w14:textId="773F6A67" w:rsidR="00E46020" w:rsidRDefault="007B62FE"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Why do the network stars show different scattering compared to the free stars? Figure 4 shows the behavior of </w:t>
      </w:r>
      <w:r w:rsidR="0042246B">
        <w:rPr>
          <w:rFonts w:ascii="Times New Roman" w:hAnsi="Times New Roman" w:cs="Times New Roman"/>
        </w:rPr>
        <w:t>correlation</w:t>
      </w:r>
      <w:r>
        <w:rPr>
          <w:rFonts w:ascii="Times New Roman" w:hAnsi="Times New Roman" w:cs="Times New Roman"/>
        </w:rPr>
        <w:t xml:space="preserve"> length with concentration for the free and networked stars.  Why do they differ?</w:t>
      </w:r>
      <w:r w:rsidR="0042246B">
        <w:rPr>
          <w:rFonts w:ascii="Times New Roman" w:hAnsi="Times New Roman" w:cs="Times New Roman"/>
        </w:rPr>
        <w:t xml:space="preserve"> Figure 8 shows how the network scaling changes with molecular weight of the star arms. Explain this behavior.</w:t>
      </w:r>
    </w:p>
    <w:p w14:paraId="4EC070EA" w14:textId="77777777" w:rsidR="00B22165" w:rsidRPr="00B22165" w:rsidRDefault="00B22165" w:rsidP="00B22165">
      <w:pPr>
        <w:jc w:val="both"/>
        <w:rPr>
          <w:rFonts w:ascii="Times New Roman" w:hAnsi="Times New Roman" w:cs="Times New Roman"/>
        </w:rPr>
      </w:pPr>
    </w:p>
    <w:p w14:paraId="4142527B" w14:textId="46A619F4" w:rsidR="00E46020" w:rsidRDefault="0042246B" w:rsidP="002C74F8">
      <w:pPr>
        <w:pStyle w:val="ListParagraph"/>
        <w:numPr>
          <w:ilvl w:val="0"/>
          <w:numId w:val="1"/>
        </w:numPr>
        <w:jc w:val="both"/>
        <w:rPr>
          <w:rFonts w:ascii="Times New Roman" w:hAnsi="Times New Roman" w:cs="Times New Roman"/>
        </w:rPr>
      </w:pPr>
      <w:r>
        <w:rPr>
          <w:rFonts w:ascii="Times New Roman" w:hAnsi="Times New Roman" w:cs="Times New Roman"/>
        </w:rPr>
        <w:t>Figure 9 shows Schulz’s consideration of clustering of monomers near the crosslink sites which he says gives rise to “static” scattering due to its relative lack of motion compared to “dynamic” features</w:t>
      </w:r>
      <w:r w:rsidR="00D717A6">
        <w:rPr>
          <w:rFonts w:ascii="Times New Roman" w:hAnsi="Times New Roman" w:cs="Times New Roman"/>
        </w:rPr>
        <w:t xml:space="preserve"> (</w:t>
      </w:r>
      <w:r w:rsidR="00D717A6" w:rsidRPr="00D717A6">
        <w:rPr>
          <w:rFonts w:ascii="Times New Roman" w:hAnsi="Times New Roman" w:cs="Times New Roman"/>
          <w:i/>
          <w:iCs/>
        </w:rPr>
        <w:t>by my understanding</w:t>
      </w:r>
      <w:r w:rsidR="00D717A6">
        <w:rPr>
          <w:rFonts w:ascii="Times New Roman" w:hAnsi="Times New Roman" w:cs="Times New Roman"/>
        </w:rPr>
        <w:t>)</w:t>
      </w:r>
      <w:r>
        <w:rPr>
          <w:rFonts w:ascii="Times New Roman" w:hAnsi="Times New Roman" w:cs="Times New Roman"/>
        </w:rPr>
        <w:t xml:space="preserve">. The scattering is fit </w:t>
      </w:r>
      <w:r w:rsidR="00D717A6">
        <w:rPr>
          <w:rFonts w:ascii="Times New Roman" w:hAnsi="Times New Roman" w:cs="Times New Roman"/>
        </w:rPr>
        <w:t>summ</w:t>
      </w:r>
      <w:r>
        <w:rPr>
          <w:rFonts w:ascii="Times New Roman" w:hAnsi="Times New Roman" w:cs="Times New Roman"/>
        </w:rPr>
        <w:t>ing two terms one for static and one for dynamic</w:t>
      </w:r>
      <w:r w:rsidR="00D717A6">
        <w:rPr>
          <w:rFonts w:ascii="Times New Roman" w:hAnsi="Times New Roman" w:cs="Times New Roman"/>
        </w:rPr>
        <w:t xml:space="preserve"> (which implies that the two are independent of each other)</w:t>
      </w:r>
      <w:r>
        <w:rPr>
          <w:rFonts w:ascii="Times New Roman" w:hAnsi="Times New Roman" w:cs="Times New Roman"/>
        </w:rPr>
        <w:t xml:space="preserve"> </w:t>
      </w:r>
      <w:r w:rsidR="00D717A6">
        <w:rPr>
          <w:rFonts w:ascii="Times New Roman" w:hAnsi="Times New Roman" w:cs="Times New Roman"/>
        </w:rPr>
        <w:t>resulting</w:t>
      </w:r>
      <w:r>
        <w:rPr>
          <w:rFonts w:ascii="Times New Roman" w:hAnsi="Times New Roman" w:cs="Times New Roman"/>
        </w:rPr>
        <w:t xml:space="preserve"> in two correlation lengths</w:t>
      </w:r>
      <w:r w:rsidR="00E55F8B">
        <w:rPr>
          <w:rFonts w:ascii="Times New Roman" w:hAnsi="Times New Roman" w:cs="Times New Roman"/>
        </w:rPr>
        <w:t xml:space="preserve"> (</w:t>
      </w:r>
      <w:r w:rsidR="00E55F8B" w:rsidRPr="00D717A6">
        <w:rPr>
          <w:rFonts w:ascii="Times New Roman" w:hAnsi="Times New Roman" w:cs="Times New Roman"/>
          <w:i/>
          <w:iCs/>
        </w:rPr>
        <w:t>the way I understand it</w:t>
      </w:r>
      <w:r w:rsidR="00E55F8B">
        <w:rPr>
          <w:rFonts w:ascii="Times New Roman" w:hAnsi="Times New Roman" w:cs="Times New Roman"/>
        </w:rPr>
        <w:t>)</w:t>
      </w:r>
      <w:r>
        <w:rPr>
          <w:rFonts w:ascii="Times New Roman" w:hAnsi="Times New Roman" w:cs="Times New Roman"/>
        </w:rPr>
        <w:t xml:space="preserve">. </w:t>
      </w:r>
      <w:r w:rsidR="00E55F8B">
        <w:rPr>
          <w:rFonts w:ascii="Times New Roman" w:hAnsi="Times New Roman" w:cs="Times New Roman"/>
        </w:rPr>
        <w:t xml:space="preserve">The ratio of the static, </w:t>
      </w:r>
      <w:r w:rsidR="00E55F8B" w:rsidRPr="00E55F8B">
        <w:rPr>
          <w:rFonts w:ascii="Times New Roman" w:hAnsi="Times New Roman" w:cs="Times New Roman"/>
          <w:i/>
          <w:iCs/>
        </w:rPr>
        <w:t>I</w:t>
      </w:r>
      <w:r w:rsidR="00E55F8B" w:rsidRPr="00E55F8B">
        <w:rPr>
          <w:rFonts w:ascii="Times New Roman" w:hAnsi="Times New Roman" w:cs="Times New Roman"/>
          <w:vertAlign w:val="subscript"/>
        </w:rPr>
        <w:t>G</w:t>
      </w:r>
      <w:r w:rsidR="00E55F8B">
        <w:rPr>
          <w:rFonts w:ascii="Times New Roman" w:hAnsi="Times New Roman" w:cs="Times New Roman"/>
        </w:rPr>
        <w:t xml:space="preserve">, to the </w:t>
      </w:r>
      <w:r w:rsidR="00D717A6">
        <w:rPr>
          <w:rFonts w:ascii="Times New Roman" w:hAnsi="Times New Roman" w:cs="Times New Roman"/>
        </w:rPr>
        <w:t xml:space="preserve">dynamic </w:t>
      </w:r>
      <w:r w:rsidR="00E55F8B">
        <w:rPr>
          <w:rFonts w:ascii="Times New Roman" w:hAnsi="Times New Roman" w:cs="Times New Roman"/>
        </w:rPr>
        <w:t xml:space="preserve">chain scattering </w:t>
      </w:r>
      <w:r w:rsidR="00E55F8B" w:rsidRPr="00E55F8B">
        <w:rPr>
          <w:rFonts w:ascii="Times New Roman" w:hAnsi="Times New Roman" w:cs="Times New Roman"/>
          <w:i/>
          <w:iCs/>
        </w:rPr>
        <w:t>I</w:t>
      </w:r>
      <w:r w:rsidR="00E55F8B" w:rsidRPr="00E55F8B">
        <w:rPr>
          <w:rFonts w:ascii="Times New Roman" w:hAnsi="Times New Roman" w:cs="Times New Roman"/>
          <w:vertAlign w:val="subscript"/>
        </w:rPr>
        <w:t>F</w:t>
      </w:r>
      <w:r w:rsidR="00E55F8B">
        <w:rPr>
          <w:rFonts w:ascii="Times New Roman" w:hAnsi="Times New Roman" w:cs="Times New Roman"/>
        </w:rPr>
        <w:t xml:space="preserve"> is a measure of the reduction in the importance of this clustering as the concentration increases, as shown in Figure 11.  Explain the origin of the 1</w:t>
      </w:r>
      <w:proofErr w:type="gramStart"/>
      <w:r w:rsidR="00E55F8B">
        <w:rPr>
          <w:rFonts w:ascii="Times New Roman" w:hAnsi="Times New Roman" w:cs="Times New Roman"/>
        </w:rPr>
        <w:t>/(</w:t>
      </w:r>
      <w:proofErr w:type="gramEnd"/>
      <w:r w:rsidR="00E55F8B">
        <w:rPr>
          <w:rFonts w:ascii="Times New Roman" w:hAnsi="Times New Roman" w:cs="Times New Roman"/>
        </w:rPr>
        <w:t>3</w:t>
      </w:r>
      <w:r w:rsidR="00E55F8B" w:rsidRPr="00E55F8B">
        <w:rPr>
          <w:rFonts w:ascii="Symbol" w:hAnsi="Symbol" w:cs="Times New Roman"/>
          <w:i/>
          <w:iCs/>
        </w:rPr>
        <w:t>n</w:t>
      </w:r>
      <w:r w:rsidR="00E55F8B">
        <w:rPr>
          <w:rFonts w:ascii="Times New Roman" w:hAnsi="Times New Roman" w:cs="Times New Roman"/>
        </w:rPr>
        <w:t xml:space="preserve">-1) scaling factor on </w:t>
      </w:r>
      <w:r w:rsidR="00D717A6">
        <w:rPr>
          <w:rFonts w:ascii="Times New Roman" w:hAnsi="Times New Roman" w:cs="Times New Roman"/>
        </w:rPr>
        <w:t xml:space="preserve">the bottom of </w:t>
      </w:r>
      <w:r w:rsidR="00E55F8B">
        <w:rPr>
          <w:rFonts w:ascii="Times New Roman" w:hAnsi="Times New Roman" w:cs="Times New Roman"/>
        </w:rPr>
        <w:t>page K, and the meaning of the x and y axis in figure 11.</w:t>
      </w:r>
    </w:p>
    <w:p w14:paraId="5D507A11" w14:textId="77777777" w:rsidR="00B22165" w:rsidRPr="00B22165" w:rsidRDefault="00B22165" w:rsidP="00B22165">
      <w:pPr>
        <w:jc w:val="both"/>
        <w:rPr>
          <w:rFonts w:ascii="Times New Roman" w:hAnsi="Times New Roman" w:cs="Times New Roman"/>
        </w:rPr>
      </w:pPr>
    </w:p>
    <w:p w14:paraId="5CC08DD4" w14:textId="14E3AEC4" w:rsidR="00B80875" w:rsidRPr="006A555A" w:rsidRDefault="005630E6" w:rsidP="006A555A">
      <w:pPr>
        <w:pStyle w:val="ListParagraph"/>
        <w:numPr>
          <w:ilvl w:val="0"/>
          <w:numId w:val="1"/>
        </w:numPr>
        <w:jc w:val="both"/>
        <w:rPr>
          <w:rFonts w:ascii="Times New Roman" w:hAnsi="Times New Roman" w:cs="Times New Roman"/>
        </w:rPr>
      </w:pPr>
      <w:r>
        <w:rPr>
          <w:rFonts w:ascii="Times New Roman" w:hAnsi="Times New Roman" w:cs="Times New Roman"/>
        </w:rPr>
        <w:lastRenderedPageBreak/>
        <w:t>One point that Scholz misses is the emergence of large-scale structures (that cannot be simulated in his finite simulation box)</w:t>
      </w:r>
      <w:r w:rsidR="002B6E14">
        <w:rPr>
          <w:rFonts w:ascii="Times New Roman" w:hAnsi="Times New Roman" w:cs="Times New Roman"/>
        </w:rPr>
        <w:t>.</w:t>
      </w:r>
      <w:r>
        <w:rPr>
          <w:rFonts w:ascii="Times New Roman" w:hAnsi="Times New Roman" w:cs="Times New Roman"/>
        </w:rPr>
        <w:t xml:space="preserve"> For example, if the chains linking a crosslink point are entangled or are polydisperse, some short linkages exist which will necessarily sustain </w:t>
      </w:r>
      <w:proofErr w:type="gramStart"/>
      <w:r>
        <w:rPr>
          <w:rFonts w:ascii="Times New Roman" w:hAnsi="Times New Roman" w:cs="Times New Roman"/>
        </w:rPr>
        <w:t>the majority of</w:t>
      </w:r>
      <w:proofErr w:type="gramEnd"/>
      <w:r>
        <w:rPr>
          <w:rFonts w:ascii="Times New Roman" w:hAnsi="Times New Roman" w:cs="Times New Roman"/>
        </w:rPr>
        <w:t xml:space="preserve"> the tension</w:t>
      </w:r>
      <w:r w:rsidR="00E55F8B">
        <w:rPr>
          <w:rFonts w:ascii="Times New Roman" w:hAnsi="Times New Roman" w:cs="Times New Roman"/>
        </w:rPr>
        <w:t xml:space="preserve"> on swelling from</w:t>
      </w:r>
      <w:r>
        <w:rPr>
          <w:rFonts w:ascii="Times New Roman" w:hAnsi="Times New Roman" w:cs="Times New Roman"/>
        </w:rPr>
        <w:t xml:space="preserve"> a crosslink site. These short chains or entangled chains will form a short-chain pathway through the network which will dominate the mechanical properties</w:t>
      </w:r>
      <w:r w:rsidR="00E55F8B">
        <w:rPr>
          <w:rFonts w:ascii="Times New Roman" w:hAnsi="Times New Roman" w:cs="Times New Roman"/>
        </w:rPr>
        <w:t xml:space="preserve"> and swelling</w:t>
      </w:r>
      <w:r w:rsidR="00973B28">
        <w:rPr>
          <w:rFonts w:ascii="Times New Roman" w:hAnsi="Times New Roman" w:cs="Times New Roman"/>
        </w:rPr>
        <w:t xml:space="preserve"> and structure</w:t>
      </w:r>
      <w:r>
        <w:rPr>
          <w:rFonts w:ascii="Times New Roman" w:hAnsi="Times New Roman" w:cs="Times New Roman"/>
        </w:rPr>
        <w:t xml:space="preserve"> in any real rubber or gel. Comment on the value of Schulz’s studies in this context</w:t>
      </w:r>
      <w:r w:rsidR="00E55F8B">
        <w:rPr>
          <w:rFonts w:ascii="Times New Roman" w:hAnsi="Times New Roman" w:cs="Times New Roman"/>
        </w:rPr>
        <w:t xml:space="preserve">, that is, how much can you say about a bulk gel or rubber based on a box of 512 </w:t>
      </w:r>
      <w:proofErr w:type="spellStart"/>
      <w:r w:rsidR="00E55F8B">
        <w:rPr>
          <w:rFonts w:ascii="Times New Roman" w:hAnsi="Times New Roman" w:cs="Times New Roman"/>
        </w:rPr>
        <w:t>mer</w:t>
      </w:r>
      <w:proofErr w:type="spellEnd"/>
      <w:r w:rsidR="00E55F8B">
        <w:rPr>
          <w:rFonts w:ascii="Times New Roman" w:hAnsi="Times New Roman" w:cs="Times New Roman"/>
        </w:rPr>
        <w:t xml:space="preserve"> units per side.</w:t>
      </w:r>
    </w:p>
    <w:sectPr w:rsidR="00B80875" w:rsidRPr="006A555A" w:rsidSect="007A1B50">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D5F9" w14:textId="77777777" w:rsidR="00046024" w:rsidRDefault="00046024" w:rsidP="00377FC4">
      <w:r>
        <w:separator/>
      </w:r>
    </w:p>
  </w:endnote>
  <w:endnote w:type="continuationSeparator" w:id="0">
    <w:p w14:paraId="1E20C6DA" w14:textId="77777777" w:rsidR="00046024" w:rsidRDefault="00046024"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93DA" w14:textId="77777777" w:rsidR="00046024" w:rsidRDefault="00046024" w:rsidP="00377FC4">
      <w:r>
        <w:separator/>
      </w:r>
    </w:p>
  </w:footnote>
  <w:footnote w:type="continuationSeparator" w:id="0">
    <w:p w14:paraId="7BCA3EE1" w14:textId="77777777" w:rsidR="00046024" w:rsidRDefault="00046024"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65088">
    <w:abstractNumId w:val="2"/>
  </w:num>
  <w:num w:numId="2" w16cid:durableId="1270314184">
    <w:abstractNumId w:val="1"/>
  </w:num>
  <w:num w:numId="3" w16cid:durableId="190745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240A0"/>
    <w:rsid w:val="00026685"/>
    <w:rsid w:val="00033F4A"/>
    <w:rsid w:val="00046024"/>
    <w:rsid w:val="00062D05"/>
    <w:rsid w:val="00064C74"/>
    <w:rsid w:val="000801F9"/>
    <w:rsid w:val="000A509A"/>
    <w:rsid w:val="000A75C8"/>
    <w:rsid w:val="000C5498"/>
    <w:rsid w:val="000C5777"/>
    <w:rsid w:val="00101C20"/>
    <w:rsid w:val="001241EC"/>
    <w:rsid w:val="0014387F"/>
    <w:rsid w:val="00186784"/>
    <w:rsid w:val="001B73C6"/>
    <w:rsid w:val="001C006A"/>
    <w:rsid w:val="001C4573"/>
    <w:rsid w:val="00253F18"/>
    <w:rsid w:val="002743AF"/>
    <w:rsid w:val="00274E54"/>
    <w:rsid w:val="002811E9"/>
    <w:rsid w:val="00292410"/>
    <w:rsid w:val="00293E69"/>
    <w:rsid w:val="002943B0"/>
    <w:rsid w:val="002B6E14"/>
    <w:rsid w:val="002C2BA7"/>
    <w:rsid w:val="002C74F8"/>
    <w:rsid w:val="003153A7"/>
    <w:rsid w:val="00336463"/>
    <w:rsid w:val="003577D2"/>
    <w:rsid w:val="003619C6"/>
    <w:rsid w:val="00377FC4"/>
    <w:rsid w:val="003A0171"/>
    <w:rsid w:val="003A6F12"/>
    <w:rsid w:val="003D6F1C"/>
    <w:rsid w:val="00416A7A"/>
    <w:rsid w:val="0042246B"/>
    <w:rsid w:val="004417F6"/>
    <w:rsid w:val="0047270C"/>
    <w:rsid w:val="004B6C70"/>
    <w:rsid w:val="004C7E19"/>
    <w:rsid w:val="004F6059"/>
    <w:rsid w:val="004F7480"/>
    <w:rsid w:val="00512388"/>
    <w:rsid w:val="00523084"/>
    <w:rsid w:val="00536B7A"/>
    <w:rsid w:val="00545A94"/>
    <w:rsid w:val="005568C1"/>
    <w:rsid w:val="005630E6"/>
    <w:rsid w:val="0057486F"/>
    <w:rsid w:val="00575242"/>
    <w:rsid w:val="00595F6A"/>
    <w:rsid w:val="005A3F4E"/>
    <w:rsid w:val="005B24AF"/>
    <w:rsid w:val="005B5FD5"/>
    <w:rsid w:val="005B6967"/>
    <w:rsid w:val="005D776D"/>
    <w:rsid w:val="0069553C"/>
    <w:rsid w:val="006A04F7"/>
    <w:rsid w:val="006A555A"/>
    <w:rsid w:val="006C3DFD"/>
    <w:rsid w:val="006C70BF"/>
    <w:rsid w:val="006E0382"/>
    <w:rsid w:val="00704DA0"/>
    <w:rsid w:val="00742DA8"/>
    <w:rsid w:val="007A1B50"/>
    <w:rsid w:val="007B62FE"/>
    <w:rsid w:val="007F40B3"/>
    <w:rsid w:val="00826AF7"/>
    <w:rsid w:val="00834BEF"/>
    <w:rsid w:val="00855F59"/>
    <w:rsid w:val="00875C41"/>
    <w:rsid w:val="00887930"/>
    <w:rsid w:val="00892723"/>
    <w:rsid w:val="008D1A8D"/>
    <w:rsid w:val="008D28CA"/>
    <w:rsid w:val="008D4398"/>
    <w:rsid w:val="009057F0"/>
    <w:rsid w:val="00925F8E"/>
    <w:rsid w:val="00937891"/>
    <w:rsid w:val="00960466"/>
    <w:rsid w:val="00973B28"/>
    <w:rsid w:val="00993E58"/>
    <w:rsid w:val="00995E7B"/>
    <w:rsid w:val="009C1863"/>
    <w:rsid w:val="009C6471"/>
    <w:rsid w:val="009E65A8"/>
    <w:rsid w:val="00A158DD"/>
    <w:rsid w:val="00A65BA7"/>
    <w:rsid w:val="00A73935"/>
    <w:rsid w:val="00A871EC"/>
    <w:rsid w:val="00AA2F72"/>
    <w:rsid w:val="00AF0F5D"/>
    <w:rsid w:val="00B1081F"/>
    <w:rsid w:val="00B20F2E"/>
    <w:rsid w:val="00B22165"/>
    <w:rsid w:val="00B22A86"/>
    <w:rsid w:val="00B80875"/>
    <w:rsid w:val="00BA3651"/>
    <w:rsid w:val="00BD363A"/>
    <w:rsid w:val="00BD79C2"/>
    <w:rsid w:val="00C143BE"/>
    <w:rsid w:val="00C90AA3"/>
    <w:rsid w:val="00C90DFB"/>
    <w:rsid w:val="00CA3395"/>
    <w:rsid w:val="00CF0860"/>
    <w:rsid w:val="00D513AC"/>
    <w:rsid w:val="00D5519C"/>
    <w:rsid w:val="00D63568"/>
    <w:rsid w:val="00D717A6"/>
    <w:rsid w:val="00D85F87"/>
    <w:rsid w:val="00DA410F"/>
    <w:rsid w:val="00DE5327"/>
    <w:rsid w:val="00E46020"/>
    <w:rsid w:val="00E55F8B"/>
    <w:rsid w:val="00E85B32"/>
    <w:rsid w:val="00EB00FF"/>
    <w:rsid w:val="00EC5973"/>
    <w:rsid w:val="00F01654"/>
    <w:rsid w:val="00F34C82"/>
    <w:rsid w:val="00F46D80"/>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1703">
      <w:bodyDiv w:val="1"/>
      <w:marLeft w:val="0"/>
      <w:marRight w:val="0"/>
      <w:marTop w:val="0"/>
      <w:marBottom w:val="0"/>
      <w:divBdr>
        <w:top w:val="none" w:sz="0" w:space="0" w:color="auto"/>
        <w:left w:val="none" w:sz="0" w:space="0" w:color="auto"/>
        <w:bottom w:val="none" w:sz="0" w:space="0" w:color="auto"/>
        <w:right w:val="none" w:sz="0" w:space="0" w:color="auto"/>
      </w:divBdr>
      <w:divsChild>
        <w:div w:id="1042093341">
          <w:marLeft w:val="0"/>
          <w:marRight w:val="0"/>
          <w:marTop w:val="0"/>
          <w:marBottom w:val="0"/>
          <w:divBdr>
            <w:top w:val="none" w:sz="0" w:space="0" w:color="auto"/>
            <w:left w:val="none" w:sz="0" w:space="0" w:color="auto"/>
            <w:bottom w:val="none" w:sz="0" w:space="0" w:color="auto"/>
            <w:right w:val="none" w:sz="0" w:space="0" w:color="auto"/>
          </w:divBdr>
          <w:divsChild>
            <w:div w:id="543256562">
              <w:marLeft w:val="0"/>
              <w:marRight w:val="0"/>
              <w:marTop w:val="0"/>
              <w:marBottom w:val="0"/>
              <w:divBdr>
                <w:top w:val="none" w:sz="0" w:space="0" w:color="auto"/>
                <w:left w:val="none" w:sz="0" w:space="0" w:color="auto"/>
                <w:bottom w:val="none" w:sz="0" w:space="0" w:color="auto"/>
                <w:right w:val="none" w:sz="0" w:space="0" w:color="auto"/>
              </w:divBdr>
              <w:divsChild>
                <w:div w:id="206066698">
                  <w:marLeft w:val="0"/>
                  <w:marRight w:val="0"/>
                  <w:marTop w:val="0"/>
                  <w:marBottom w:val="0"/>
                  <w:divBdr>
                    <w:top w:val="none" w:sz="0" w:space="0" w:color="auto"/>
                    <w:left w:val="none" w:sz="0" w:space="0" w:color="auto"/>
                    <w:bottom w:val="none" w:sz="0" w:space="0" w:color="auto"/>
                    <w:right w:val="none" w:sz="0" w:space="0" w:color="auto"/>
                  </w:divBdr>
                  <w:divsChild>
                    <w:div w:id="2118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uc.edu/~beaucag/Classes/Properties/Books/%28George%20Fisher%20Baker%20Non-Resident%20Lec%29%20Paul%20J.%20Flory%20-%20Principles%20of%20Polymer%20Chemistry%20-Cornell%20University%20Press%20%281953%2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ng.uc.edu/~beaucag/Classes/Properties/Books/Pierre-giles%20De%20Gennes%20-%20Scaling%20concepts%20in%20polymer%20physics-Cornell%20University%20Press%20%281979%2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10</cp:revision>
  <cp:lastPrinted>2024-02-15T16:55:00Z</cp:lastPrinted>
  <dcterms:created xsi:type="dcterms:W3CDTF">2024-02-29T14:53:00Z</dcterms:created>
  <dcterms:modified xsi:type="dcterms:W3CDTF">2024-02-29T21:28:00Z</dcterms:modified>
</cp:coreProperties>
</file>