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63F3" w14:textId="0985E772" w:rsidR="00ED37A4" w:rsidRDefault="00ED37A4" w:rsidP="00ED37A4">
      <w:pPr>
        <w:jc w:val="center"/>
      </w:pPr>
      <w:r>
        <w:t xml:space="preserve">Homework </w:t>
      </w:r>
      <w:r w:rsidR="0017013A">
        <w:t>5</w:t>
      </w:r>
    </w:p>
    <w:p w14:paraId="29265FAF" w14:textId="4BBAECAA" w:rsidR="00ED37A4" w:rsidRDefault="00ED37A4" w:rsidP="00ED37A4">
      <w:pPr>
        <w:jc w:val="center"/>
      </w:pPr>
      <w:r>
        <w:t xml:space="preserve">February </w:t>
      </w:r>
      <w:r w:rsidR="0017013A">
        <w:t>17</w:t>
      </w:r>
      <w:r>
        <w:t>, 2025</w:t>
      </w:r>
    </w:p>
    <w:p w14:paraId="40318089" w14:textId="77777777" w:rsidR="00ED37A4" w:rsidRDefault="00ED37A4" w:rsidP="00ED37A4">
      <w:pPr>
        <w:jc w:val="center"/>
      </w:pPr>
      <w:r>
        <w:t>Polymer Physics</w:t>
      </w:r>
    </w:p>
    <w:p w14:paraId="461CD7F1" w14:textId="77777777" w:rsidR="00ED37A4" w:rsidRDefault="00ED37A4" w:rsidP="00ED37A4">
      <w:pPr>
        <w:jc w:val="center"/>
      </w:pPr>
    </w:p>
    <w:p w14:paraId="1C78072B" w14:textId="696AE8AB" w:rsidR="002C353B" w:rsidRPr="002C353B" w:rsidRDefault="00713AF3" w:rsidP="002C353B">
      <w:r>
        <w:t>Chain persistence in polyelectrolytes (</w:t>
      </w:r>
      <w:proofErr w:type="spellStart"/>
      <w:r>
        <w:t>l</w:t>
      </w:r>
      <w:r w:rsidRPr="00713AF3">
        <w:rPr>
          <w:vertAlign w:val="subscript"/>
        </w:rPr>
        <w:t>p</w:t>
      </w:r>
      <w:proofErr w:type="spellEnd"/>
      <w:r>
        <w:t>) is governed by the charge spacing on the chain (a or b), the Debye screening length (</w:t>
      </w:r>
      <w:r w:rsidRPr="00713AF3">
        <w:rPr>
          <w:rFonts w:ascii="Symbol" w:hAnsi="Symbol"/>
        </w:rPr>
        <w:t>l</w:t>
      </w:r>
      <w:r w:rsidRPr="00713AF3">
        <w:rPr>
          <w:vertAlign w:val="subscript"/>
        </w:rPr>
        <w:t>D</w:t>
      </w:r>
      <w:r>
        <w:t xml:space="preserve">), the </w:t>
      </w:r>
      <w:proofErr w:type="spellStart"/>
      <w:r>
        <w:t>Bejerrum</w:t>
      </w:r>
      <w:proofErr w:type="spellEnd"/>
      <w:r>
        <w:t xml:space="preserve"> length (</w:t>
      </w:r>
      <w:proofErr w:type="spellStart"/>
      <w:r>
        <w:t>l</w:t>
      </w:r>
      <w:r w:rsidRPr="00713AF3">
        <w:rPr>
          <w:vertAlign w:val="subscript"/>
        </w:rPr>
        <w:t>B</w:t>
      </w:r>
      <w:proofErr w:type="spellEnd"/>
      <w:r>
        <w:t>), and the bare persistence length in the absence of charge (l</w:t>
      </w:r>
      <w:r w:rsidRPr="00713AF3">
        <w:rPr>
          <w:vertAlign w:val="subscript"/>
        </w:rPr>
        <w:t>0</w:t>
      </w:r>
      <w:r>
        <w:t xml:space="preserve">). The </w:t>
      </w:r>
      <w:proofErr w:type="spellStart"/>
      <w:r w:rsidRPr="00713AF3">
        <w:t>Odijk</w:t>
      </w:r>
      <w:proofErr w:type="spellEnd"/>
      <w:r w:rsidRPr="00713AF3">
        <w:t>-Skolnick-</w:t>
      </w:r>
      <w:proofErr w:type="spellStart"/>
      <w:r w:rsidRPr="00713AF3">
        <w:t>Fixman</w:t>
      </w:r>
      <w:proofErr w:type="spellEnd"/>
      <w:r w:rsidRPr="00713AF3">
        <w:t xml:space="preserve"> (OSF) Model</w:t>
      </w:r>
      <w:r w:rsidRPr="00713AF3">
        <w:rPr>
          <w:i/>
          <w:iCs/>
        </w:rPr>
        <w:t xml:space="preserve"> </w:t>
      </w:r>
      <w:r>
        <w:t>predicts the dependence of polyelectrolyte persistence length on these parameters and the counter ion concentration, l</w:t>
      </w:r>
      <w:r w:rsidRPr="0075554F">
        <w:rPr>
          <w:vertAlign w:val="subscript"/>
        </w:rPr>
        <w:t>e</w:t>
      </w:r>
      <w:r>
        <w:t xml:space="preserve"> = l</w:t>
      </w:r>
      <w:r w:rsidRPr="0075554F">
        <w:rPr>
          <w:vertAlign w:val="subscript"/>
        </w:rPr>
        <w:t>o</w:t>
      </w:r>
      <w:r>
        <w:t xml:space="preserve"> +l</w:t>
      </w:r>
      <w:r w:rsidRPr="0075554F">
        <w:rPr>
          <w:vertAlign w:val="subscript"/>
        </w:rPr>
        <w:t>e</w:t>
      </w:r>
      <w:r>
        <w:t xml:space="preserve"> </w:t>
      </w:r>
      <w:r w:rsidR="00BE2AF0">
        <w:t xml:space="preserve">where </w:t>
      </w:r>
      <w:r w:rsidR="00BE2AF0" w:rsidRPr="00BE2AF0">
        <w:drawing>
          <wp:inline distT="0" distB="0" distL="0" distR="0" wp14:anchorId="0AF4C092" wp14:editId="1B30654A">
            <wp:extent cx="762709" cy="337279"/>
            <wp:effectExtent l="0" t="0" r="0" b="5715"/>
            <wp:docPr id="1911080590" name="Picture 1" descr="A mathematical equation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080590" name="Picture 1" descr="A mathematical equation with numbers and symbol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115" cy="3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AF0">
        <w:t xml:space="preserve"> and </w:t>
      </w:r>
      <w:r w:rsidR="00BE2AF0" w:rsidRPr="00BE2AF0">
        <w:rPr>
          <w:rFonts w:ascii="Symbol" w:hAnsi="Symbol"/>
        </w:rPr>
        <w:t>k</w:t>
      </w:r>
      <w:r w:rsidR="00BE2AF0">
        <w:t xml:space="preserve"> = 1/</w:t>
      </w:r>
      <w:proofErr w:type="spellStart"/>
      <w:r w:rsidR="00BE2AF0">
        <w:t>l</w:t>
      </w:r>
      <w:r w:rsidR="00BE2AF0" w:rsidRPr="00BE2AF0">
        <w:rPr>
          <w:vertAlign w:val="subscript"/>
        </w:rPr>
        <w:t>D</w:t>
      </w:r>
      <w:r w:rsidR="00BE2AF0">
        <w:t>.</w:t>
      </w:r>
      <w:proofErr w:type="spellEnd"/>
      <w:r w:rsidR="00BE2AF0">
        <w:t xml:space="preserve"> </w:t>
      </w:r>
      <w:r w:rsidR="002C353B">
        <w:t xml:space="preserve">Li X, Wang Y, Sun C, Zhao Y, Lu W, Fang Y </w:t>
      </w:r>
      <w:r w:rsidR="002C353B" w:rsidRPr="002C353B">
        <w:rPr>
          <w:i/>
          <w:iCs/>
        </w:rPr>
        <w:t>Collapse-</w:t>
      </w:r>
      <w:proofErr w:type="spellStart"/>
      <w:r w:rsidR="002C353B" w:rsidRPr="002C353B">
        <w:rPr>
          <w:i/>
          <w:iCs/>
        </w:rPr>
        <w:t>reexpansion</w:t>
      </w:r>
      <w:proofErr w:type="spellEnd"/>
      <w:r w:rsidR="002C353B" w:rsidRPr="002C353B">
        <w:rPr>
          <w:i/>
          <w:iCs/>
        </w:rPr>
        <w:t xml:space="preserve"> conformational transition of alginate under non-specific ion conditions </w:t>
      </w:r>
      <w:r w:rsidR="002C353B">
        <w:t xml:space="preserve">Food Hydrocolloids </w:t>
      </w:r>
      <w:r w:rsidR="002C353B">
        <w:rPr>
          <w:b/>
          <w:bCs/>
        </w:rPr>
        <w:t>160</w:t>
      </w:r>
      <w:r w:rsidR="002C353B">
        <w:t xml:space="preserve"> 110744 (2025) use AFM to measure the persistence length of alginate as a function of counter ion concentration. </w:t>
      </w:r>
      <w:r w:rsidR="00392F0A">
        <w:t>Alginate</w:t>
      </w:r>
      <w:r w:rsidR="002C353B">
        <w:t xml:space="preserve"> is a polysaccharide composed of </w:t>
      </w:r>
      <w:proofErr w:type="spellStart"/>
      <w:r w:rsidR="002C353B">
        <w:t>mannuronate</w:t>
      </w:r>
      <w:proofErr w:type="spellEnd"/>
      <w:r w:rsidR="002C353B">
        <w:t xml:space="preserve"> (M-blocks) and guluronate (G-blocks) units that is obtained from seaweed and is used in biomedicine, and food. The chain is a block-copolymer</w:t>
      </w:r>
      <w:r w:rsidR="00527FFC">
        <w:t xml:space="preserve"> with M, G and MG blocks.</w:t>
      </w:r>
      <w:r w:rsidR="002C353B">
        <w:t xml:space="preserve"> The polyelectrolyte is negatively charged due to carboxyl groups on the </w:t>
      </w:r>
      <w:r w:rsidR="00527FFC">
        <w:t>six</w:t>
      </w:r>
      <w:r w:rsidR="002C353B">
        <w:t xml:space="preserve"> membered main chain rings </w:t>
      </w:r>
      <w:r w:rsidR="00CF0199">
        <w:t>common</w:t>
      </w:r>
      <w:r w:rsidR="002C353B">
        <w:t xml:space="preserve"> to cellulose, starch and other polysaccharides.</w:t>
      </w:r>
    </w:p>
    <w:p w14:paraId="67DEAFD6" w14:textId="71356E7C" w:rsidR="00713AF3" w:rsidRPr="00713AF3" w:rsidRDefault="002C353B" w:rsidP="0075554F">
      <w:pPr>
        <w:jc w:val="center"/>
      </w:pPr>
      <w:r>
        <w:fldChar w:fldCharType="begin"/>
      </w:r>
      <w:r>
        <w:instrText xml:space="preserve"> INCLUDEPICTURE "/Users/gregorybeaucage/Library/Group Containers/UBF8T346G9.ms/WebArchiveCopyPasteTempFiles/com.microsoft.Word/250px-Algins%C3%A4ure.svg.png"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1002C83" wp14:editId="29DC8E3F">
            <wp:extent cx="3170555" cy="1094105"/>
            <wp:effectExtent l="0" t="0" r="0" b="0"/>
            <wp:docPr id="754462130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462130" name="Picture 1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04DFD30" w14:textId="36F547CF" w:rsidR="00713AF3" w:rsidRDefault="00CF0199" w:rsidP="00713AF3">
      <w:r>
        <w:t>The addition of bivalen</w:t>
      </w:r>
      <w:r w:rsidR="00392F0A">
        <w:t>t</w:t>
      </w:r>
      <w:r>
        <w:t xml:space="preserve"> Ca</w:t>
      </w:r>
      <w:r w:rsidRPr="00392F0A">
        <w:rPr>
          <w:vertAlign w:val="superscript"/>
        </w:rPr>
        <w:t>+2</w:t>
      </w:r>
      <w:r>
        <w:t xml:space="preserve"> salts </w:t>
      </w:r>
      <w:proofErr w:type="gramStart"/>
      <w:r>
        <w:t>leads</w:t>
      </w:r>
      <w:proofErr w:type="gramEnd"/>
      <w:r>
        <w:t xml:space="preserve"> to the formation of an egg-carton structure with specific organizational interactions but other monovalent cations and some bivalent cations show non-specific interactions</w:t>
      </w:r>
      <w:r w:rsidR="0075554F">
        <w:t xml:space="preserve"> (mean field behavior)</w:t>
      </w:r>
      <w:r>
        <w:t>. Li studies Na</w:t>
      </w:r>
      <w:r w:rsidRPr="00CF0199">
        <w:rPr>
          <w:vertAlign w:val="superscript"/>
        </w:rPr>
        <w:t>+</w:t>
      </w:r>
      <w:r>
        <w:t>, Mg</w:t>
      </w:r>
      <w:r w:rsidRPr="00CF0199">
        <w:rPr>
          <w:vertAlign w:val="superscript"/>
        </w:rPr>
        <w:t>+2</w:t>
      </w:r>
      <w:r>
        <w:t xml:space="preserve"> and K</w:t>
      </w:r>
      <w:r w:rsidRPr="00CF0199">
        <w:rPr>
          <w:vertAlign w:val="superscript"/>
        </w:rPr>
        <w:t>+</w:t>
      </w:r>
      <w:r>
        <w:t xml:space="preserve">. The study uses a Swiss program, </w:t>
      </w:r>
      <w:proofErr w:type="spellStart"/>
      <w:r>
        <w:t>FiberApp</w:t>
      </w:r>
      <w:proofErr w:type="spellEnd"/>
      <w:r>
        <w:t xml:space="preserve">, to calculate the persistence length from the AFM micrographs.  </w:t>
      </w:r>
    </w:p>
    <w:p w14:paraId="1A09D2E3" w14:textId="77777777" w:rsidR="00713AF3" w:rsidRDefault="00713AF3" w:rsidP="00713AF3"/>
    <w:p w14:paraId="7E120877" w14:textId="27EC63DB" w:rsidR="00713AF3" w:rsidRDefault="00713AF3" w:rsidP="00713AF3">
      <w:pPr>
        <w:spacing w:after="60"/>
        <w:ind w:left="288" w:hanging="288"/>
      </w:pPr>
      <w:r>
        <w:t>a)</w:t>
      </w:r>
      <w:r w:rsidR="00CF0199">
        <w:t xml:space="preserve"> </w:t>
      </w:r>
      <w:r w:rsidR="00392F0A">
        <w:t>Li’s</w:t>
      </w:r>
      <w:r w:rsidR="00CF0199">
        <w:t xml:space="preserve"> analysis is based on chain concentrations below the overlap concentration. </w:t>
      </w:r>
      <w:r w:rsidR="0075554F">
        <w:t>Li claims that the samples are 100 times more dilute than the overlap concentration.</w:t>
      </w:r>
      <w:r w:rsidR="0075554F">
        <w:t xml:space="preserve"> </w:t>
      </w:r>
      <w:r w:rsidR="00CF0199">
        <w:t xml:space="preserve">Glance at Figures 1, 2 and 3 and </w:t>
      </w:r>
      <w:r w:rsidR="0075554F">
        <w:t>decide</w:t>
      </w:r>
      <w:r w:rsidR="00CF0199">
        <w:t xml:space="preserve"> if this is above or below chain overlap. (</w:t>
      </w:r>
      <w:r w:rsidR="00392F0A">
        <w:t>R</w:t>
      </w:r>
      <w:r w:rsidR="00CF0199">
        <w:t>emember that you are looking at a 2D image of a 3D sample.</w:t>
      </w:r>
      <w:r w:rsidR="00392F0A">
        <w:t xml:space="preserve">) </w:t>
      </w:r>
      <w:r w:rsidR="008A4EA4">
        <w:t xml:space="preserve">On the second page of the supplemental to Li’s paper at the bottom of the page the equation he used to calculate c* is given. Does this equation have the correct units for concentration? Does it make sense? Do you expect the overlap concentration to change with salt concentration? Would that be a problem? </w:t>
      </w:r>
    </w:p>
    <w:p w14:paraId="2DF53620" w14:textId="7CA69EDE" w:rsidR="00713AF3" w:rsidRDefault="00713AF3" w:rsidP="00ED37A4">
      <w:pPr>
        <w:spacing w:after="60"/>
        <w:ind w:left="288" w:hanging="288"/>
        <w:jc w:val="both"/>
      </w:pPr>
      <w:r>
        <w:t>b)</w:t>
      </w:r>
      <w:r w:rsidR="00CF0199">
        <w:t xml:space="preserve"> </w:t>
      </w:r>
      <w:r w:rsidR="008A4EA4">
        <w:t>It appears that Li calculates the persistence length from a single micrograph for each condition prepared through a complicated drying process with silane surface treatment of a mica surface to ensure adhesion of the alginate to the mica. Comment on the problems you can see in this method to determine persistence length. (</w:t>
      </w:r>
      <w:r w:rsidR="00DE3655">
        <w:t xml:space="preserve">For instance, </w:t>
      </w:r>
      <w:r w:rsidR="00CF045F">
        <w:t>is</w:t>
      </w:r>
      <w:r w:rsidR="008A4EA4">
        <w:t xml:space="preserve"> a cast monolayer </w:t>
      </w:r>
      <w:r w:rsidR="0075554F">
        <w:t>adhering to a treated mica surface likely to</w:t>
      </w:r>
      <w:r w:rsidR="00CF045F">
        <w:t xml:space="preserve"> </w:t>
      </w:r>
      <w:r w:rsidR="008A4EA4">
        <w:t xml:space="preserve">distort the chains, the changes that Li obtains from the </w:t>
      </w:r>
      <w:proofErr w:type="spellStart"/>
      <w:r w:rsidR="008A4EA4">
        <w:t>FiberApp</w:t>
      </w:r>
      <w:proofErr w:type="spellEnd"/>
      <w:r w:rsidR="008A4EA4">
        <w:t xml:space="preserve"> program are not visible to the naked eye in any of the micrographs that he shows, that is the micrographs could be reordered and it wouldn’t </w:t>
      </w:r>
      <w:r w:rsidR="008A4EA4">
        <w:lastRenderedPageBreak/>
        <w:t>impact the paper, what is a sufficient sample size to get an accurate persistence length, does he observe chain end effects</w:t>
      </w:r>
      <w:r w:rsidR="00DE3655">
        <w:t xml:space="preserve"> (calculate the number of Kuhn units in his chains, I get 50 units)</w:t>
      </w:r>
      <w:r w:rsidR="008A4EA4">
        <w:t xml:space="preserve">, why are there no error bars in Figure 4, </w:t>
      </w:r>
      <w:r w:rsidR="00CF045F">
        <w:t xml:space="preserve">does he have a sufficient </w:t>
      </w:r>
      <w:r w:rsidR="00DE3655">
        <w:t>number of samples</w:t>
      </w:r>
      <w:r w:rsidR="00CF045F">
        <w:t>, you can probably can come up with several more issues</w:t>
      </w:r>
      <w:r w:rsidR="00DE3655">
        <w:t>).</w:t>
      </w:r>
    </w:p>
    <w:p w14:paraId="5F1F197D" w14:textId="49524E2B" w:rsidR="00ED37A4" w:rsidRDefault="00245DBA" w:rsidP="00ED37A4">
      <w:pPr>
        <w:spacing w:after="60"/>
        <w:ind w:left="288" w:hanging="288"/>
        <w:jc w:val="both"/>
      </w:pPr>
      <w:r>
        <w:t>c</w:t>
      </w:r>
      <w:r w:rsidR="00ED37A4">
        <w:t xml:space="preserve">) </w:t>
      </w:r>
      <w:r w:rsidR="00DE3655">
        <w:t xml:space="preserve">Explain the </w:t>
      </w:r>
      <w:proofErr w:type="spellStart"/>
      <w:r w:rsidR="00DE3655" w:rsidRPr="00713AF3">
        <w:t>Odijk</w:t>
      </w:r>
      <w:proofErr w:type="spellEnd"/>
      <w:r w:rsidR="00DE3655" w:rsidRPr="00713AF3">
        <w:t>-Skolnick-</w:t>
      </w:r>
      <w:proofErr w:type="spellStart"/>
      <w:r w:rsidR="00DE3655" w:rsidRPr="00713AF3">
        <w:t>Fixman</w:t>
      </w:r>
      <w:proofErr w:type="spellEnd"/>
      <w:r w:rsidR="00DE3655" w:rsidRPr="00713AF3">
        <w:t xml:space="preserve"> (OSF)</w:t>
      </w:r>
      <w:r w:rsidR="00DE3655">
        <w:t xml:space="preserve"> theory and its prediction for the counter ion contribution to chain persistence and </w:t>
      </w:r>
      <w:r w:rsidR="00CF045F">
        <w:t xml:space="preserve">the prediction for </w:t>
      </w:r>
      <w:r w:rsidR="00DE3655">
        <w:t>counter ion condensation</w:t>
      </w:r>
      <w:r w:rsidR="00ED37A4">
        <w:t>.</w:t>
      </w:r>
      <w:r w:rsidR="00DE3655">
        <w:t xml:space="preserve"> Do Li’s results agree with this theory? (Define the Manning number, Bjerrum length, Debye screening length, charge density along chain, electrostatic persistence length.)</w:t>
      </w:r>
    </w:p>
    <w:p w14:paraId="7FFD74D9" w14:textId="5F7D7B33" w:rsidR="00ED37A4" w:rsidRDefault="00245DBA" w:rsidP="00ED37A4">
      <w:pPr>
        <w:spacing w:after="60"/>
        <w:ind w:left="288" w:hanging="288"/>
        <w:jc w:val="both"/>
      </w:pPr>
      <w:r>
        <w:t>d</w:t>
      </w:r>
      <w:r w:rsidR="00ED37A4">
        <w:t xml:space="preserve">) </w:t>
      </w:r>
      <w:r w:rsidR="00CB454D">
        <w:t>Explain why the polyelectrolyte chain first collapses and then expands as counter ion concentration is increased, Figure 4. What is the Zeta potential and how is it determined</w:t>
      </w:r>
      <w:r w:rsidR="002E44E4">
        <w:t xml:space="preserve">, </w:t>
      </w:r>
      <w:r w:rsidR="002E44E4">
        <w:t>Figures S6 in the supplemental</w:t>
      </w:r>
      <w:r w:rsidR="00CB454D">
        <w:t>?</w:t>
      </w:r>
      <w:r w:rsidR="00ED37A4">
        <w:t xml:space="preserve">  </w:t>
      </w:r>
      <w:r w:rsidR="002E44E4">
        <w:t>How does this plot coupled with Figure 4 support your explanation</w:t>
      </w:r>
      <w:r w:rsidR="00CF045F">
        <w:t xml:space="preserve"> for why collapse and </w:t>
      </w:r>
      <w:proofErr w:type="spellStart"/>
      <w:r w:rsidR="00CF045F">
        <w:t>reexpansion</w:t>
      </w:r>
      <w:proofErr w:type="spellEnd"/>
      <w:r w:rsidR="00CF045F">
        <w:t xml:space="preserve"> occurs</w:t>
      </w:r>
      <w:r w:rsidR="002E44E4">
        <w:t xml:space="preserve">? </w:t>
      </w:r>
    </w:p>
    <w:p w14:paraId="658389CF" w14:textId="57E7B26D" w:rsidR="00ED37A4" w:rsidRDefault="00245DBA" w:rsidP="00245DBA">
      <w:pPr>
        <w:spacing w:after="60"/>
        <w:ind w:left="288" w:hanging="288"/>
        <w:jc w:val="both"/>
      </w:pPr>
      <w:r>
        <w:t>e</w:t>
      </w:r>
      <w:r w:rsidR="00ED37A4">
        <w:t xml:space="preserve">) </w:t>
      </w:r>
      <w:r w:rsidR="002E44E4">
        <w:t xml:space="preserve">In Figure 7, why does </w:t>
      </w:r>
      <w:r w:rsidR="002E44E4" w:rsidRPr="002E44E4">
        <w:rPr>
          <w:rFonts w:ascii="Symbol" w:hAnsi="Symbol"/>
        </w:rPr>
        <w:t>l</w:t>
      </w:r>
      <w:r w:rsidR="002E44E4" w:rsidRPr="002E44E4">
        <w:rPr>
          <w:vertAlign w:val="subscript"/>
        </w:rPr>
        <w:t>Mg+2</w:t>
      </w:r>
      <w:r w:rsidR="002E44E4">
        <w:t xml:space="preserve">,&gt; </w:t>
      </w:r>
      <w:r w:rsidR="002E44E4" w:rsidRPr="002E44E4">
        <w:rPr>
          <w:rFonts w:ascii="Symbol" w:hAnsi="Symbol"/>
        </w:rPr>
        <w:t>l</w:t>
      </w:r>
      <w:r w:rsidR="002E44E4">
        <w:rPr>
          <w:vertAlign w:val="subscript"/>
        </w:rPr>
        <w:t>K</w:t>
      </w:r>
      <w:r w:rsidR="002E44E4" w:rsidRPr="002E44E4">
        <w:rPr>
          <w:vertAlign w:val="subscript"/>
        </w:rPr>
        <w:t>+</w:t>
      </w:r>
      <w:r w:rsidR="002E44E4">
        <w:rPr>
          <w:vertAlign w:val="subscript"/>
        </w:rPr>
        <w:t>1</w:t>
      </w:r>
      <w:r w:rsidR="002E44E4">
        <w:t xml:space="preserve"> &gt; </w:t>
      </w:r>
      <w:r w:rsidR="002E44E4" w:rsidRPr="002E44E4">
        <w:rPr>
          <w:rFonts w:ascii="Symbol" w:hAnsi="Symbol"/>
        </w:rPr>
        <w:t>l</w:t>
      </w:r>
      <w:r w:rsidR="002E44E4">
        <w:rPr>
          <w:vertAlign w:val="subscript"/>
        </w:rPr>
        <w:t>Na</w:t>
      </w:r>
      <w:r w:rsidR="002E44E4" w:rsidRPr="002E44E4">
        <w:rPr>
          <w:vertAlign w:val="subscript"/>
        </w:rPr>
        <w:t>+</w:t>
      </w:r>
      <w:r w:rsidR="002E44E4">
        <w:rPr>
          <w:vertAlign w:val="subscript"/>
        </w:rPr>
        <w:t>1</w:t>
      </w:r>
      <w:r w:rsidR="002E44E4">
        <w:t xml:space="preserve"> in chain collapse but </w:t>
      </w:r>
      <w:r w:rsidR="002E44E4" w:rsidRPr="002E44E4">
        <w:rPr>
          <w:rFonts w:ascii="Symbol" w:hAnsi="Symbol"/>
        </w:rPr>
        <w:t>l</w:t>
      </w:r>
      <w:r w:rsidR="002E44E4" w:rsidRPr="002E44E4">
        <w:rPr>
          <w:vertAlign w:val="subscript"/>
        </w:rPr>
        <w:t>Mg+</w:t>
      </w:r>
      <w:proofErr w:type="gramStart"/>
      <w:r w:rsidR="002E44E4" w:rsidRPr="002E44E4">
        <w:rPr>
          <w:vertAlign w:val="subscript"/>
        </w:rPr>
        <w:t>2</w:t>
      </w:r>
      <w:r w:rsidR="002E44E4">
        <w:t>,</w:t>
      </w:r>
      <w:r w:rsidR="002E44E4">
        <w:t>&lt;</w:t>
      </w:r>
      <w:proofErr w:type="gramEnd"/>
      <w:r w:rsidR="002E44E4">
        <w:t xml:space="preserve"> </w:t>
      </w:r>
      <w:r w:rsidR="002E44E4" w:rsidRPr="002E44E4">
        <w:rPr>
          <w:rFonts w:ascii="Symbol" w:hAnsi="Symbol"/>
        </w:rPr>
        <w:t>l</w:t>
      </w:r>
      <w:r w:rsidR="002E44E4">
        <w:rPr>
          <w:vertAlign w:val="subscript"/>
        </w:rPr>
        <w:t>K</w:t>
      </w:r>
      <w:r w:rsidR="002E44E4" w:rsidRPr="002E44E4">
        <w:rPr>
          <w:vertAlign w:val="subscript"/>
        </w:rPr>
        <w:t>+</w:t>
      </w:r>
      <w:r w:rsidR="002E44E4">
        <w:rPr>
          <w:vertAlign w:val="subscript"/>
        </w:rPr>
        <w:t>1</w:t>
      </w:r>
      <w:r w:rsidR="002E44E4">
        <w:t xml:space="preserve"> </w:t>
      </w:r>
      <w:r w:rsidR="002E44E4">
        <w:t>&lt;</w:t>
      </w:r>
      <w:r w:rsidR="002E44E4">
        <w:t xml:space="preserve"> </w:t>
      </w:r>
      <w:r w:rsidR="002E44E4" w:rsidRPr="002E44E4">
        <w:rPr>
          <w:rFonts w:ascii="Symbol" w:hAnsi="Symbol"/>
        </w:rPr>
        <w:t>l</w:t>
      </w:r>
      <w:r w:rsidR="002E44E4">
        <w:rPr>
          <w:vertAlign w:val="subscript"/>
        </w:rPr>
        <w:t>Na</w:t>
      </w:r>
      <w:r w:rsidR="002E44E4" w:rsidRPr="002E44E4">
        <w:rPr>
          <w:vertAlign w:val="subscript"/>
        </w:rPr>
        <w:t>+</w:t>
      </w:r>
      <w:r w:rsidR="002E44E4">
        <w:rPr>
          <w:vertAlign w:val="subscript"/>
        </w:rPr>
        <w:t>1</w:t>
      </w:r>
      <w:r w:rsidR="002E44E4" w:rsidRPr="002E44E4">
        <w:t xml:space="preserve"> </w:t>
      </w:r>
      <w:r w:rsidR="002E44E4">
        <w:t>in chain</w:t>
      </w:r>
      <w:r w:rsidR="002E44E4">
        <w:t xml:space="preserve"> </w:t>
      </w:r>
      <w:proofErr w:type="spellStart"/>
      <w:r w:rsidR="002E44E4">
        <w:t>reexpansion</w:t>
      </w:r>
      <w:proofErr w:type="spellEnd"/>
      <w:r w:rsidR="002E44E4">
        <w:t xml:space="preserve">? Why is </w:t>
      </w:r>
      <w:r w:rsidR="002E44E4" w:rsidRPr="002E44E4">
        <w:rPr>
          <w:rFonts w:ascii="Symbol" w:hAnsi="Symbol"/>
        </w:rPr>
        <w:t>l</w:t>
      </w:r>
      <w:r w:rsidR="002E44E4">
        <w:t xml:space="preserve"> always </w:t>
      </w:r>
      <w:r w:rsidR="00706FE6">
        <w:t>positive</w:t>
      </w:r>
      <w:r w:rsidR="002E44E4">
        <w:t>?</w:t>
      </w:r>
    </w:p>
    <w:sectPr w:rsidR="00ED37A4" w:rsidSect="00ED3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D2422"/>
    <w:multiLevelType w:val="hybridMultilevel"/>
    <w:tmpl w:val="29562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A4"/>
    <w:rsid w:val="00092284"/>
    <w:rsid w:val="0017013A"/>
    <w:rsid w:val="00245DBA"/>
    <w:rsid w:val="002C353B"/>
    <w:rsid w:val="002D1A76"/>
    <w:rsid w:val="002E44E4"/>
    <w:rsid w:val="00392F0A"/>
    <w:rsid w:val="003B7032"/>
    <w:rsid w:val="003E3607"/>
    <w:rsid w:val="00476710"/>
    <w:rsid w:val="00527FFC"/>
    <w:rsid w:val="005703C7"/>
    <w:rsid w:val="00613C2F"/>
    <w:rsid w:val="00706FE6"/>
    <w:rsid w:val="00713AF3"/>
    <w:rsid w:val="00734EB0"/>
    <w:rsid w:val="0075554F"/>
    <w:rsid w:val="008A4EA4"/>
    <w:rsid w:val="00902A87"/>
    <w:rsid w:val="00997779"/>
    <w:rsid w:val="00BE2AF0"/>
    <w:rsid w:val="00CB454D"/>
    <w:rsid w:val="00CF0199"/>
    <w:rsid w:val="00CF045F"/>
    <w:rsid w:val="00DE3655"/>
    <w:rsid w:val="00ED37A4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92D79"/>
  <w15:chartTrackingRefBased/>
  <w15:docId w15:val="{4F484DDA-4F45-984E-AA22-9A8E2870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7A4"/>
  </w:style>
  <w:style w:type="paragraph" w:styleId="Heading1">
    <w:name w:val="heading 1"/>
    <w:basedOn w:val="Normal"/>
    <w:next w:val="Normal"/>
    <w:link w:val="Heading1Char"/>
    <w:uiPriority w:val="9"/>
    <w:qFormat/>
    <w:rsid w:val="00ED3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7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7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7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7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7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7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7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13AF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10</cp:revision>
  <cp:lastPrinted>2025-02-11T21:40:00Z</cp:lastPrinted>
  <dcterms:created xsi:type="dcterms:W3CDTF">2025-02-11T18:00:00Z</dcterms:created>
  <dcterms:modified xsi:type="dcterms:W3CDTF">2025-02-13T02:02:00Z</dcterms:modified>
</cp:coreProperties>
</file>