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C4E5D" w14:textId="5D56D939" w:rsidR="006C08C9" w:rsidRDefault="006C08C9" w:rsidP="006C08C9">
      <w:pPr>
        <w:jc w:val="center"/>
      </w:pPr>
      <w:r>
        <w:t>Homework 6</w:t>
      </w:r>
    </w:p>
    <w:p w14:paraId="58971FEC" w14:textId="19BA274A" w:rsidR="006C08C9" w:rsidRDefault="006C08C9" w:rsidP="006C08C9">
      <w:pPr>
        <w:jc w:val="center"/>
      </w:pPr>
      <w:r>
        <w:t xml:space="preserve">February </w:t>
      </w:r>
      <w:r w:rsidR="00677644">
        <w:t>24</w:t>
      </w:r>
      <w:r>
        <w:t>, 2025</w:t>
      </w:r>
    </w:p>
    <w:p w14:paraId="38B08E48" w14:textId="77777777" w:rsidR="006C08C9" w:rsidRDefault="006C08C9" w:rsidP="006C08C9">
      <w:pPr>
        <w:jc w:val="center"/>
      </w:pPr>
      <w:r>
        <w:t>Polymer Physics</w:t>
      </w:r>
    </w:p>
    <w:p w14:paraId="684F290F" w14:textId="77777777" w:rsidR="006C08C9" w:rsidRDefault="006C08C9" w:rsidP="006C08C9">
      <w:pPr>
        <w:jc w:val="center"/>
      </w:pPr>
    </w:p>
    <w:p w14:paraId="047EA1B9" w14:textId="4D4C3315" w:rsidR="00385318" w:rsidRPr="00385318" w:rsidRDefault="00677644" w:rsidP="00385318">
      <w:pPr>
        <w:rPr>
          <w:i/>
          <w:iCs/>
        </w:rPr>
      </w:pPr>
      <w:r>
        <w:t xml:space="preserve">There has been interest in 2D polymers for about 15 years with the “discovery” of simple ways to produce aromatic carbon sheets, graphene, and graphene oxide, </w:t>
      </w:r>
      <w:proofErr w:type="gramStart"/>
      <w:r>
        <w:t>and also</w:t>
      </w:r>
      <w:proofErr w:type="gramEnd"/>
      <w:r>
        <w:t xml:space="preserve"> inorganic sheet structures like </w:t>
      </w:r>
      <w:r w:rsidRPr="00677644">
        <w:t xml:space="preserve">molybdenum disulfide (MoS2) or tungsten </w:t>
      </w:r>
      <w:proofErr w:type="spellStart"/>
      <w:r w:rsidRPr="00677644">
        <w:t>diselenide</w:t>
      </w:r>
      <w:proofErr w:type="spellEnd"/>
      <w:r w:rsidRPr="00677644">
        <w:t xml:space="preserve"> (WSe2)</w:t>
      </w:r>
      <w:r>
        <w:t>, as well as more complex 2D structures.</w:t>
      </w:r>
      <w:r w:rsidR="00385318">
        <w:t xml:space="preserve"> In theory, these structures might be used to produce sub-nanometer electronic devices, nano-machines, and special optical and sensor devices among other dreams.</w:t>
      </w:r>
      <w:r>
        <w:t xml:space="preserve"> </w:t>
      </w:r>
      <w:r w:rsidR="00385318">
        <w:t xml:space="preserve">There has been some effort in the physics community to draw analogies between the phase and conformational transitions in linear polymers which we have briefly looked at and the transitions that occur in these 2D structures which include spontaneous crumpling and folding. Figure 1 below, from Jiang Y, Wang Y, Xu Z, Gao C </w:t>
      </w:r>
      <w:r w:rsidR="00385318" w:rsidRPr="00385318">
        <w:rPr>
          <w:i/>
          <w:iCs/>
        </w:rPr>
        <w:t>Conformation Engineering of Two-Dimensional Macromolecules: A</w:t>
      </w:r>
    </w:p>
    <w:p w14:paraId="0DDD5C4A" w14:textId="2D8D2742" w:rsidR="00385318" w:rsidRPr="00385318" w:rsidRDefault="00385318" w:rsidP="00385318">
      <w:r w:rsidRPr="00385318">
        <w:rPr>
          <w:i/>
          <w:iCs/>
        </w:rPr>
        <w:t>Case Study with Graphene Oxide</w:t>
      </w:r>
      <w:r>
        <w:t xml:space="preserve"> </w:t>
      </w:r>
      <w:r w:rsidRPr="00385318">
        <w:t xml:space="preserve">Acc. Mater. Res. </w:t>
      </w:r>
      <w:r w:rsidRPr="00385318">
        <w:rPr>
          <w:b/>
          <w:bCs/>
        </w:rPr>
        <w:t>1</w:t>
      </w:r>
      <w:r w:rsidRPr="00385318">
        <w:t xml:space="preserve"> 175−187</w:t>
      </w:r>
      <w:r>
        <w:t xml:space="preserve"> (2020) schematically shows the thought process.</w:t>
      </w:r>
    </w:p>
    <w:p w14:paraId="3B23665C" w14:textId="08519563" w:rsidR="00385318" w:rsidRDefault="00385318" w:rsidP="00385318">
      <w:pPr>
        <w:jc w:val="center"/>
      </w:pPr>
      <w:r w:rsidRPr="00385318">
        <w:rPr>
          <w:noProof/>
        </w:rPr>
        <w:drawing>
          <wp:inline distT="0" distB="0" distL="0" distR="0" wp14:anchorId="3CDCA1C0" wp14:editId="559CCFBE">
            <wp:extent cx="4353515" cy="3935373"/>
            <wp:effectExtent l="0" t="0" r="3175" b="1905"/>
            <wp:docPr id="442642180" name="Picture 1" descr="A diagram of different types of poly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42180" name="Picture 1" descr="A diagram of different types of polymer&#10;&#10;Description automatically generated"/>
                    <pic:cNvPicPr/>
                  </pic:nvPicPr>
                  <pic:blipFill>
                    <a:blip r:embed="rId7"/>
                    <a:stretch>
                      <a:fillRect/>
                    </a:stretch>
                  </pic:blipFill>
                  <pic:spPr>
                    <a:xfrm>
                      <a:off x="0" y="0"/>
                      <a:ext cx="4404385" cy="3981357"/>
                    </a:xfrm>
                    <a:prstGeom prst="rect">
                      <a:avLst/>
                    </a:prstGeom>
                  </pic:spPr>
                </pic:pic>
              </a:graphicData>
            </a:graphic>
          </wp:inline>
        </w:drawing>
      </w:r>
    </w:p>
    <w:p w14:paraId="7E1DB634" w14:textId="77777777" w:rsidR="004215A1" w:rsidRPr="004215A1" w:rsidRDefault="00385318" w:rsidP="004215A1">
      <w:pPr>
        <w:rPr>
          <w:i/>
          <w:iCs/>
        </w:rPr>
      </w:pPr>
      <w:r>
        <w:t xml:space="preserve">Xu J-Q, Shi R, Zhu Y-L, Lu Z-Y </w:t>
      </w:r>
      <w:r w:rsidR="004215A1" w:rsidRPr="004215A1">
        <w:rPr>
          <w:i/>
          <w:iCs/>
        </w:rPr>
        <w:t>Folding behaviors of two-dimensional</w:t>
      </w:r>
    </w:p>
    <w:p w14:paraId="79C05BD4" w14:textId="579D3C99" w:rsidR="004215A1" w:rsidRPr="004215A1" w:rsidRDefault="004215A1" w:rsidP="004215A1">
      <w:r w:rsidRPr="004215A1">
        <w:rPr>
          <w:i/>
          <w:iCs/>
        </w:rPr>
        <w:t xml:space="preserve">flexible polymers J. Chem. Phys. </w:t>
      </w:r>
      <w:r w:rsidRPr="004215A1">
        <w:rPr>
          <w:b/>
          <w:bCs/>
          <w:i/>
          <w:iCs/>
        </w:rPr>
        <w:t>161</w:t>
      </w:r>
      <w:r w:rsidRPr="004215A1">
        <w:t xml:space="preserve"> 161101 (2024)</w:t>
      </w:r>
      <w:r>
        <w:t xml:space="preserve"> use a coarse grain simulation (probably using LAMMPS) and Dissipative Particle Dynamics (DPD) to explore the crumpling and folding behavior of a square grid 2D structure with explicit solvent. Most previous studies have used “implicit solvent”, that is no solvent, to study similar systems and coarse grain molecular dynamics simulations.  Xu finds that within a small range of interaction energies </w:t>
      </w:r>
      <w:r>
        <w:lastRenderedPageBreak/>
        <w:t>predictable, spontaneous, and complex folding behavior can be observed.  From this behavior Xu constructs a “phase-diagram”.</w:t>
      </w:r>
    </w:p>
    <w:p w14:paraId="54E3D469" w14:textId="638FBC2A" w:rsidR="004215A1" w:rsidRPr="004215A1" w:rsidRDefault="004215A1" w:rsidP="004215A1"/>
    <w:p w14:paraId="36A8D451" w14:textId="36550D4B" w:rsidR="00701551" w:rsidRDefault="00701551" w:rsidP="00701551">
      <w:pPr>
        <w:pStyle w:val="ListParagraph"/>
        <w:numPr>
          <w:ilvl w:val="0"/>
          <w:numId w:val="1"/>
        </w:numPr>
      </w:pPr>
      <w:r>
        <w:t xml:space="preserve">Xu’s supplemental gives an introduction to DPD simulations and Santo KP, </w:t>
      </w:r>
      <w:proofErr w:type="spellStart"/>
      <w:r>
        <w:t>Neimark</w:t>
      </w:r>
      <w:proofErr w:type="spellEnd"/>
      <w:r>
        <w:t xml:space="preserve"> AV </w:t>
      </w:r>
      <w:r w:rsidRPr="00701551">
        <w:rPr>
          <w:i/>
          <w:iCs/>
        </w:rPr>
        <w:t xml:space="preserve">Dissipative particle dynamics simulations in colloid and Interface </w:t>
      </w:r>
      <w:proofErr w:type="spellStart"/>
      <w:proofErr w:type="gramStart"/>
      <w:r w:rsidRPr="00701551">
        <w:rPr>
          <w:i/>
          <w:iCs/>
        </w:rPr>
        <w:t>science:a</w:t>
      </w:r>
      <w:proofErr w:type="spellEnd"/>
      <w:proofErr w:type="gramEnd"/>
      <w:r w:rsidRPr="00701551">
        <w:rPr>
          <w:i/>
          <w:iCs/>
        </w:rPr>
        <w:t xml:space="preserve"> review</w:t>
      </w:r>
      <w:r>
        <w:t xml:space="preserve"> </w:t>
      </w:r>
      <w:r w:rsidRPr="00701551">
        <w:t>Adv</w:t>
      </w:r>
      <w:r>
        <w:t>.</w:t>
      </w:r>
      <w:r w:rsidRPr="00701551">
        <w:t xml:space="preserve"> Coll</w:t>
      </w:r>
      <w:r>
        <w:t>.</w:t>
      </w:r>
      <w:r w:rsidRPr="00701551">
        <w:t xml:space="preserve"> Interf</w:t>
      </w:r>
      <w:r>
        <w:t>.</w:t>
      </w:r>
      <w:r w:rsidRPr="00701551">
        <w:t xml:space="preserve"> Sci</w:t>
      </w:r>
      <w:r>
        <w:t>.</w:t>
      </w:r>
      <w:r w:rsidRPr="00701551">
        <w:t xml:space="preserve"> </w:t>
      </w:r>
      <w:r w:rsidRPr="00701551">
        <w:rPr>
          <w:b/>
          <w:bCs/>
        </w:rPr>
        <w:t>298</w:t>
      </w:r>
      <w:r w:rsidRPr="00701551">
        <w:t xml:space="preserve"> 102545</w:t>
      </w:r>
      <w:r>
        <w:t xml:space="preserve"> </w:t>
      </w:r>
      <w:r w:rsidRPr="00701551">
        <w:t>(2021)</w:t>
      </w:r>
      <w:r>
        <w:t xml:space="preserve"> gives more description. Explain why Xu uses DPD rather than MD for this study. Explain the difference between DPD and MD simulations.  </w:t>
      </w:r>
      <w:r w:rsidR="00D6196A">
        <w:t xml:space="preserve">Why does he use a </w:t>
      </w:r>
      <w:r w:rsidR="00656D6F">
        <w:t xml:space="preserve">square grid rather than a hexagonal grid </w:t>
      </w:r>
      <w:proofErr w:type="gramStart"/>
      <w:r w:rsidR="00656D6F">
        <w:t>similar to</w:t>
      </w:r>
      <w:proofErr w:type="gramEnd"/>
      <w:r w:rsidR="00656D6F">
        <w:t xml:space="preserve"> graphene oxide?  Does this impact the results? Coarse graining means that he groups many </w:t>
      </w:r>
      <w:proofErr w:type="gramStart"/>
      <w:r w:rsidR="00656D6F">
        <w:t>atoms</w:t>
      </w:r>
      <w:proofErr w:type="gramEnd"/>
      <w:r w:rsidR="00656D6F">
        <w:t xml:space="preserve"> but the thickness of most layered structures is one atom thick not a group of atoms thick, i.e. graphene is one carbon thick.  </w:t>
      </w:r>
      <w:r w:rsidR="00233299">
        <w:t>D</w:t>
      </w:r>
      <w:r w:rsidR="00656D6F">
        <w:t>oes this impact the simulation?</w:t>
      </w:r>
    </w:p>
    <w:p w14:paraId="2131216A" w14:textId="1A91C475" w:rsidR="00701551" w:rsidRDefault="00701551" w:rsidP="00701551">
      <w:pPr>
        <w:pStyle w:val="ListParagraph"/>
        <w:numPr>
          <w:ilvl w:val="0"/>
          <w:numId w:val="1"/>
        </w:numPr>
      </w:pPr>
      <w:r>
        <w:t xml:space="preserve">Xu uses a scaling parameter </w:t>
      </w:r>
      <w:r w:rsidRPr="00701551">
        <w:rPr>
          <w:rFonts w:ascii="Symbol" w:hAnsi="Symbol"/>
          <w:i/>
          <w:iCs/>
        </w:rPr>
        <w:t>n</w:t>
      </w:r>
      <w:r w:rsidRPr="00701551">
        <w:rPr>
          <w:i/>
          <w:iCs/>
        </w:rPr>
        <w:t xml:space="preserve"> </w:t>
      </w:r>
      <w:r>
        <w:t xml:space="preserve">and eigenvalues for the radius of gyration tensor to describe the phase behavior for different values of </w:t>
      </w:r>
      <w:r w:rsidRPr="00701551">
        <w:rPr>
          <w:rFonts w:ascii="Symbol" w:hAnsi="Symbol"/>
          <w:i/>
          <w:iCs/>
        </w:rPr>
        <w:t>a</w:t>
      </w:r>
      <w:r w:rsidRPr="00701551">
        <w:rPr>
          <w:vertAlign w:val="subscript"/>
        </w:rPr>
        <w:t>PS</w:t>
      </w:r>
      <w:r>
        <w:t xml:space="preserve">. For </w:t>
      </w:r>
      <w:r w:rsidR="000E05B7">
        <w:t xml:space="preserve">“good solvent” conditions, </w:t>
      </w:r>
      <w:r w:rsidR="000E05B7" w:rsidRPr="00701551">
        <w:rPr>
          <w:rFonts w:ascii="Symbol" w:hAnsi="Symbol"/>
          <w:i/>
          <w:iCs/>
        </w:rPr>
        <w:t>a</w:t>
      </w:r>
      <w:r w:rsidR="000E05B7" w:rsidRPr="00701551">
        <w:rPr>
          <w:vertAlign w:val="subscript"/>
        </w:rPr>
        <w:t>PS</w:t>
      </w:r>
      <w:r w:rsidR="000E05B7">
        <w:t xml:space="preserve">= 25,26,27 calculate the </w:t>
      </w:r>
      <w:r w:rsidR="000E05B7" w:rsidRPr="00701551">
        <w:rPr>
          <w:rFonts w:ascii="Symbol" w:hAnsi="Symbol"/>
          <w:i/>
          <w:iCs/>
        </w:rPr>
        <w:t>c</w:t>
      </w:r>
      <w:r w:rsidR="000E05B7">
        <w:t xml:space="preserve">-parameter, the mass-fractal dimension, </w:t>
      </w:r>
      <w:proofErr w:type="spellStart"/>
      <w:r w:rsidR="000E05B7" w:rsidRPr="000E05B7">
        <w:rPr>
          <w:i/>
          <w:iCs/>
        </w:rPr>
        <w:t>d</w:t>
      </w:r>
      <w:r w:rsidR="000E05B7" w:rsidRPr="000E05B7">
        <w:rPr>
          <w:vertAlign w:val="subscript"/>
        </w:rPr>
        <w:t>f</w:t>
      </w:r>
      <w:proofErr w:type="spellEnd"/>
      <w:r w:rsidR="000E05B7">
        <w:t xml:space="preserve">, the minimum dimension, </w:t>
      </w:r>
      <w:proofErr w:type="spellStart"/>
      <w:r w:rsidR="000E05B7" w:rsidRPr="000E05B7">
        <w:rPr>
          <w:i/>
          <w:iCs/>
        </w:rPr>
        <w:t>d</w:t>
      </w:r>
      <w:r w:rsidR="000E05B7" w:rsidRPr="000E05B7">
        <w:rPr>
          <w:vertAlign w:val="subscript"/>
        </w:rPr>
        <w:t>min</w:t>
      </w:r>
      <w:proofErr w:type="spellEnd"/>
      <w:r w:rsidR="000E05B7">
        <w:t xml:space="preserve">, and the connectivity dimension, </w:t>
      </w:r>
      <w:r w:rsidR="000E05B7" w:rsidRPr="000E05B7">
        <w:rPr>
          <w:i/>
          <w:iCs/>
        </w:rPr>
        <w:t>c</w:t>
      </w:r>
      <w:r w:rsidR="000E05B7">
        <w:t xml:space="preserve">.  Do the same for the intermediate solvent condition, </w:t>
      </w:r>
      <w:r w:rsidR="000E05B7" w:rsidRPr="00701551">
        <w:rPr>
          <w:rFonts w:ascii="Symbol" w:hAnsi="Symbol"/>
          <w:i/>
          <w:iCs/>
        </w:rPr>
        <w:t>a</w:t>
      </w:r>
      <w:r w:rsidR="000E05B7" w:rsidRPr="00701551">
        <w:rPr>
          <w:vertAlign w:val="subscript"/>
        </w:rPr>
        <w:t>PS</w:t>
      </w:r>
      <w:r w:rsidR="000E05B7">
        <w:t xml:space="preserve">= 28,29,30. For the “poor-solvent” condition, </w:t>
      </w:r>
      <w:r w:rsidR="000E05B7" w:rsidRPr="00701551">
        <w:rPr>
          <w:rFonts w:ascii="Symbol" w:hAnsi="Symbol"/>
          <w:i/>
          <w:iCs/>
        </w:rPr>
        <w:t>a</w:t>
      </w:r>
      <w:r w:rsidR="000E05B7" w:rsidRPr="00701551">
        <w:rPr>
          <w:vertAlign w:val="subscript"/>
        </w:rPr>
        <w:t>PS</w:t>
      </w:r>
      <w:r w:rsidR="000E05B7">
        <w:t xml:space="preserve">= 31-35, calculate </w:t>
      </w:r>
      <w:r w:rsidR="000E05B7" w:rsidRPr="00701551">
        <w:rPr>
          <w:rFonts w:ascii="Symbol" w:hAnsi="Symbol"/>
          <w:i/>
          <w:iCs/>
        </w:rPr>
        <w:t>c</w:t>
      </w:r>
      <w:r w:rsidR="000E05B7">
        <w:t xml:space="preserve">, and </w:t>
      </w:r>
      <w:proofErr w:type="spellStart"/>
      <w:r w:rsidR="000E05B7" w:rsidRPr="000E05B7">
        <w:rPr>
          <w:i/>
          <w:iCs/>
        </w:rPr>
        <w:t>d</w:t>
      </w:r>
      <w:r w:rsidR="000E05B7" w:rsidRPr="000E05B7">
        <w:rPr>
          <w:vertAlign w:val="subscript"/>
        </w:rPr>
        <w:t>f</w:t>
      </w:r>
      <w:proofErr w:type="spellEnd"/>
      <w:r w:rsidR="000E05B7">
        <w:t xml:space="preserve">. What are the values of </w:t>
      </w:r>
      <w:proofErr w:type="spellStart"/>
      <w:r w:rsidR="000E05B7" w:rsidRPr="000E05B7">
        <w:rPr>
          <w:i/>
          <w:iCs/>
        </w:rPr>
        <w:t>d</w:t>
      </w:r>
      <w:r w:rsidR="000E05B7" w:rsidRPr="000E05B7">
        <w:rPr>
          <w:vertAlign w:val="subscript"/>
        </w:rPr>
        <w:t>min</w:t>
      </w:r>
      <w:proofErr w:type="spellEnd"/>
      <w:r w:rsidR="000E05B7">
        <w:t xml:space="preserve"> and </w:t>
      </w:r>
      <w:r w:rsidR="000E05B7" w:rsidRPr="000E05B7">
        <w:rPr>
          <w:i/>
          <w:iCs/>
        </w:rPr>
        <w:t>c</w:t>
      </w:r>
      <w:r w:rsidR="000E05B7">
        <w:t>?</w:t>
      </w:r>
      <w:r w:rsidR="00AF757D">
        <w:t xml:space="preserve"> (The potential energy between particles in DPD is given by </w:t>
      </w:r>
      <w:proofErr w:type="spellStart"/>
      <w:r w:rsidR="00AF757D" w:rsidRPr="00AF757D">
        <w:rPr>
          <w:i/>
          <w:iCs/>
        </w:rPr>
        <w:t>U</w:t>
      </w:r>
      <w:r w:rsidR="00AF757D" w:rsidRPr="00AF757D">
        <w:rPr>
          <w:vertAlign w:val="subscript"/>
        </w:rPr>
        <w:t>ij</w:t>
      </w:r>
      <w:proofErr w:type="spellEnd"/>
      <w:r w:rsidR="00AF757D">
        <w:t xml:space="preserve"> = </w:t>
      </w:r>
      <w:r w:rsidR="00AF757D" w:rsidRPr="00AF757D">
        <w:rPr>
          <w:rFonts w:ascii="Symbol" w:hAnsi="Symbol"/>
          <w:i/>
          <w:iCs/>
        </w:rPr>
        <w:t>a</w:t>
      </w:r>
      <w:proofErr w:type="spellStart"/>
      <w:r w:rsidR="00AF757D" w:rsidRPr="00AF757D">
        <w:rPr>
          <w:vertAlign w:val="subscript"/>
        </w:rPr>
        <w:t>ij</w:t>
      </w:r>
      <w:proofErr w:type="spellEnd"/>
      <w:r w:rsidR="00AF757D">
        <w:t>(</w:t>
      </w:r>
      <w:r w:rsidR="00AF757D" w:rsidRPr="00AF757D">
        <w:rPr>
          <w:i/>
          <w:iCs/>
        </w:rPr>
        <w:t>r</w:t>
      </w:r>
      <w:r w:rsidR="00AF757D" w:rsidRPr="00AF757D">
        <w:rPr>
          <w:vertAlign w:val="subscript"/>
        </w:rPr>
        <w:t>ij</w:t>
      </w:r>
      <w:r w:rsidR="00AF757D" w:rsidRPr="00AF757D">
        <w:rPr>
          <w:vertAlign w:val="superscript"/>
        </w:rPr>
        <w:t>2</w:t>
      </w:r>
      <w:r w:rsidR="00AF757D">
        <w:t>-</w:t>
      </w:r>
      <w:r w:rsidR="00AF757D" w:rsidRPr="00AF757D">
        <w:rPr>
          <w:i/>
          <w:iCs/>
        </w:rPr>
        <w:t>r</w:t>
      </w:r>
      <w:r w:rsidR="00AF757D" w:rsidRPr="00AF757D">
        <w:rPr>
          <w:vertAlign w:val="subscript"/>
        </w:rPr>
        <w:t>c</w:t>
      </w:r>
      <w:r w:rsidR="00AF757D" w:rsidRPr="00AF757D">
        <w:rPr>
          <w:i/>
          <w:iCs/>
        </w:rPr>
        <w:t>r</w:t>
      </w:r>
      <w:r w:rsidR="00AF757D" w:rsidRPr="00AF757D">
        <w:rPr>
          <w:vertAlign w:val="subscript"/>
        </w:rPr>
        <w:t>ij</w:t>
      </w:r>
      <w:r w:rsidR="00AF757D">
        <w:t xml:space="preserve">/3) and </w:t>
      </w:r>
      <w:proofErr w:type="spellStart"/>
      <w:r w:rsidR="00AF757D" w:rsidRPr="00AF757D">
        <w:rPr>
          <w:i/>
          <w:iCs/>
        </w:rPr>
        <w:t>r</w:t>
      </w:r>
      <w:r w:rsidR="00AF757D" w:rsidRPr="00AF757D">
        <w:rPr>
          <w:vertAlign w:val="subscript"/>
        </w:rPr>
        <w:t>ij</w:t>
      </w:r>
      <w:proofErr w:type="spellEnd"/>
      <w:r w:rsidR="00AF757D">
        <w:t xml:space="preserve"> = 1 is a good rule of thumb so </w:t>
      </w:r>
      <w:proofErr w:type="spellStart"/>
      <w:r w:rsidR="00AF757D" w:rsidRPr="00AF757D">
        <w:rPr>
          <w:i/>
          <w:iCs/>
        </w:rPr>
        <w:t>U</w:t>
      </w:r>
      <w:r w:rsidR="00AF757D" w:rsidRPr="00AF757D">
        <w:rPr>
          <w:vertAlign w:val="subscript"/>
        </w:rPr>
        <w:t>ij</w:t>
      </w:r>
      <w:proofErr w:type="spellEnd"/>
      <w:r w:rsidR="00AF757D">
        <w:t xml:space="preserve"> = </w:t>
      </w:r>
      <w:r w:rsidR="00AF757D" w:rsidRPr="00AF757D">
        <w:rPr>
          <w:rFonts w:ascii="Symbol" w:hAnsi="Symbol"/>
          <w:i/>
          <w:iCs/>
        </w:rPr>
        <w:t>a</w:t>
      </w:r>
      <w:proofErr w:type="spellStart"/>
      <w:r w:rsidR="00AF757D" w:rsidRPr="00AF757D">
        <w:rPr>
          <w:vertAlign w:val="subscript"/>
        </w:rPr>
        <w:t>ij</w:t>
      </w:r>
      <w:proofErr w:type="spellEnd"/>
      <w:r w:rsidR="00AF757D">
        <w:t xml:space="preserve">/6 approximately in units of </w:t>
      </w:r>
      <w:proofErr w:type="spellStart"/>
      <w:r w:rsidR="00AF757D">
        <w:t>k</w:t>
      </w:r>
      <w:r w:rsidR="00AF757D" w:rsidRPr="00AF757D">
        <w:rPr>
          <w:vertAlign w:val="subscript"/>
        </w:rPr>
        <w:t>B</w:t>
      </w:r>
      <w:r w:rsidR="00AF757D">
        <w:t>T</w:t>
      </w:r>
      <w:proofErr w:type="spellEnd"/>
      <w:r w:rsidR="00AF757D">
        <w:t>.</w:t>
      </w:r>
      <w:r w:rsidR="00F15065">
        <w:t xml:space="preserve"> </w:t>
      </w:r>
      <w:r w:rsidR="00F15065" w:rsidRPr="00AF757D">
        <w:rPr>
          <w:rFonts w:ascii="Symbol" w:hAnsi="Symbol"/>
          <w:i/>
          <w:iCs/>
        </w:rPr>
        <w:t>a</w:t>
      </w:r>
      <w:proofErr w:type="spellStart"/>
      <w:r w:rsidR="00F15065" w:rsidRPr="00AF757D">
        <w:rPr>
          <w:vertAlign w:val="subscript"/>
        </w:rPr>
        <w:t>ij</w:t>
      </w:r>
      <w:proofErr w:type="spellEnd"/>
      <w:r w:rsidR="00F15065">
        <w:t xml:space="preserve"> is a repulsive force while the interaction energies in the </w:t>
      </w:r>
      <w:r w:rsidR="00F15065" w:rsidRPr="00F15065">
        <w:rPr>
          <w:rFonts w:ascii="Symbol" w:hAnsi="Symbol"/>
          <w:i/>
          <w:iCs/>
        </w:rPr>
        <w:t>c</w:t>
      </w:r>
      <w:r w:rsidR="00F15065">
        <w:t>-parameter are attractive like the van der Waals “</w:t>
      </w:r>
      <w:r w:rsidR="00F15065" w:rsidRPr="00F15065">
        <w:rPr>
          <w:i/>
          <w:iCs/>
        </w:rPr>
        <w:t>a</w:t>
      </w:r>
      <w:r w:rsidR="00F15065">
        <w:t xml:space="preserve">” so you need to take the negative of </w:t>
      </w:r>
      <w:proofErr w:type="spellStart"/>
      <w:r w:rsidR="00F15065" w:rsidRPr="00AF757D">
        <w:rPr>
          <w:i/>
          <w:iCs/>
        </w:rPr>
        <w:t>U</w:t>
      </w:r>
      <w:r w:rsidR="00F15065" w:rsidRPr="00AF757D">
        <w:rPr>
          <w:vertAlign w:val="subscript"/>
        </w:rPr>
        <w:t>ij</w:t>
      </w:r>
      <w:proofErr w:type="spellEnd"/>
      <w:r w:rsidR="00F15065">
        <w:t xml:space="preserve"> to use it in a calculation for </w:t>
      </w:r>
      <w:r w:rsidR="00F15065" w:rsidRPr="00F15065">
        <w:rPr>
          <w:rFonts w:ascii="Symbol" w:hAnsi="Symbol"/>
          <w:i/>
          <w:iCs/>
        </w:rPr>
        <w:t>c</w:t>
      </w:r>
      <w:r w:rsidR="00F15065">
        <w:t>.</w:t>
      </w:r>
      <w:r w:rsidR="00AF757D">
        <w:t>)</w:t>
      </w:r>
    </w:p>
    <w:p w14:paraId="7E0FFC0A" w14:textId="1FB751EF" w:rsidR="000E05B7" w:rsidRDefault="000E05B7" w:rsidP="00701551">
      <w:pPr>
        <w:pStyle w:val="ListParagraph"/>
        <w:numPr>
          <w:ilvl w:val="0"/>
          <w:numId w:val="1"/>
        </w:numPr>
      </w:pPr>
      <w:r>
        <w:t xml:space="preserve">In the context of this paper, what are the eigenvalues for the radius of gyration tensor? Are these parameters that could be experimentally determined? Xu uses a parameter “Q” to define six classes of folded and crumpled structures. Explain the value of Q for each of these six classes shown in Figure 3. </w:t>
      </w:r>
    </w:p>
    <w:p w14:paraId="5FB21E9D" w14:textId="1D480F3E" w:rsidR="000E05B7" w:rsidRDefault="000E05B7" w:rsidP="00701551">
      <w:pPr>
        <w:pStyle w:val="ListParagraph"/>
        <w:numPr>
          <w:ilvl w:val="0"/>
          <w:numId w:val="1"/>
        </w:numPr>
      </w:pPr>
      <w:r>
        <w:t xml:space="preserve">Xu says that Figure 4 is a “phase-diagram”. </w:t>
      </w:r>
      <w:r w:rsidR="00B6427F">
        <w:t xml:space="preserve">Figure 4 is based on equation 7 which relates </w:t>
      </w:r>
      <w:r w:rsidR="00B6427F" w:rsidRPr="00B6427F">
        <w:rPr>
          <w:rFonts w:ascii="Symbol" w:hAnsi="Symbol"/>
          <w:i/>
          <w:iCs/>
        </w:rPr>
        <w:t>l</w:t>
      </w:r>
      <w:r w:rsidR="00B6427F" w:rsidRPr="00B6427F">
        <w:rPr>
          <w:vertAlign w:val="subscript"/>
        </w:rPr>
        <w:t>3</w:t>
      </w:r>
      <w:r w:rsidR="00B6427F">
        <w:t xml:space="preserve"> to </w:t>
      </w:r>
      <w:r w:rsidR="00B6427F" w:rsidRPr="00B6427F">
        <w:rPr>
          <w:rFonts w:ascii="Symbol" w:hAnsi="Symbol"/>
          <w:i/>
          <w:iCs/>
        </w:rPr>
        <w:t>l</w:t>
      </w:r>
      <w:r w:rsidR="00B6427F">
        <w:rPr>
          <w:vertAlign w:val="subscript"/>
        </w:rPr>
        <w:t>1</w:t>
      </w:r>
      <w:r w:rsidR="00B6427F" w:rsidRPr="00B6427F">
        <w:rPr>
          <w:rFonts w:ascii="Symbol" w:hAnsi="Symbol"/>
          <w:i/>
          <w:iCs/>
        </w:rPr>
        <w:t xml:space="preserve"> l</w:t>
      </w:r>
      <w:r w:rsidR="00B6427F">
        <w:rPr>
          <w:vertAlign w:val="subscript"/>
        </w:rPr>
        <w:t>2</w:t>
      </w:r>
      <w:r w:rsidR="00B6427F">
        <w:t xml:space="preserve"> through </w:t>
      </w:r>
      <w:r w:rsidR="00B6427F" w:rsidRPr="000434F7">
        <w:rPr>
          <w:i/>
          <w:iCs/>
        </w:rPr>
        <w:t>k</w:t>
      </w:r>
      <w:r w:rsidR="00B6427F">
        <w:t>/</w:t>
      </w:r>
      <w:r w:rsidR="00B6427F" w:rsidRPr="000434F7">
        <w:rPr>
          <w:rFonts w:ascii="Symbol" w:hAnsi="Symbol"/>
          <w:i/>
          <w:iCs/>
        </w:rPr>
        <w:t>g</w:t>
      </w:r>
      <w:r w:rsidR="00B6427F">
        <w:t xml:space="preserve"> which is related to </w:t>
      </w:r>
      <w:r w:rsidR="00B6427F" w:rsidRPr="00701551">
        <w:rPr>
          <w:rFonts w:ascii="Symbol" w:hAnsi="Symbol"/>
          <w:i/>
          <w:iCs/>
        </w:rPr>
        <w:t>a</w:t>
      </w:r>
      <w:r w:rsidR="00B6427F" w:rsidRPr="00701551">
        <w:rPr>
          <w:vertAlign w:val="subscript"/>
        </w:rPr>
        <w:t>PS</w:t>
      </w:r>
      <w:r w:rsidR="00B6427F">
        <w:t xml:space="preserve">, </w:t>
      </w:r>
      <w:r w:rsidR="00B6427F" w:rsidRPr="00B6427F">
        <w:rPr>
          <w:i/>
          <w:iCs/>
        </w:rPr>
        <w:t>A</w:t>
      </w:r>
      <w:r w:rsidR="00B6427F" w:rsidRPr="00B6427F">
        <w:rPr>
          <w:vertAlign w:val="subscript"/>
        </w:rPr>
        <w:t>0</w:t>
      </w:r>
      <w:r w:rsidR="00B6427F">
        <w:t xml:space="preserve"> which is </w:t>
      </w:r>
      <w:r w:rsidR="00B6427F" w:rsidRPr="00B6427F">
        <w:rPr>
          <w:i/>
          <w:iCs/>
        </w:rPr>
        <w:t>L</w:t>
      </w:r>
      <w:r w:rsidR="00B6427F" w:rsidRPr="00B6427F">
        <w:rPr>
          <w:vertAlign w:val="superscript"/>
        </w:rPr>
        <w:t>2</w:t>
      </w:r>
      <w:r w:rsidR="00B6427F">
        <w:rPr>
          <w:i/>
          <w:iCs/>
        </w:rPr>
        <w:t xml:space="preserve">, </w:t>
      </w:r>
      <w:r w:rsidR="00B6427F" w:rsidRPr="00B6427F">
        <w:t>the size of the original 2D structure</w:t>
      </w:r>
      <w:r w:rsidR="00B6427F">
        <w:t xml:space="preserve">, and </w:t>
      </w:r>
      <w:r w:rsidR="00B6427F" w:rsidRPr="00B6427F">
        <w:rPr>
          <w:rFonts w:ascii="Symbol" w:hAnsi="Symbol"/>
          <w:i/>
          <w:iCs/>
        </w:rPr>
        <w:t>b</w:t>
      </w:r>
      <w:r w:rsidR="00B6427F">
        <w:t xml:space="preserve"> = </w:t>
      </w:r>
      <w:r w:rsidR="00B6427F" w:rsidRPr="00B6427F">
        <w:rPr>
          <w:i/>
          <w:iCs/>
        </w:rPr>
        <w:t>A</w:t>
      </w:r>
      <w:r w:rsidR="00B6427F" w:rsidRPr="00B6427F">
        <w:rPr>
          <w:vertAlign w:val="subscript"/>
        </w:rPr>
        <w:t>0</w:t>
      </w:r>
      <w:r w:rsidR="00B6427F">
        <w:t>/</w:t>
      </w:r>
      <w:r w:rsidR="00B6427F" w:rsidRPr="00B6427F">
        <w:rPr>
          <w:i/>
          <w:iCs/>
        </w:rPr>
        <w:t>A</w:t>
      </w:r>
      <w:r w:rsidR="00B6427F">
        <w:t xml:space="preserve"> where </w:t>
      </w:r>
      <w:r w:rsidR="00B6427F" w:rsidRPr="00B6427F">
        <w:rPr>
          <w:i/>
          <w:iCs/>
        </w:rPr>
        <w:t>A</w:t>
      </w:r>
      <w:r w:rsidR="00B6427F">
        <w:t xml:space="preserve"> is the area of the folded structure. The equation results in the curves shown in Figure 4.</w:t>
      </w:r>
      <w:r w:rsidR="00B6427F" w:rsidRPr="00B6427F">
        <w:rPr>
          <w:i/>
          <w:iCs/>
        </w:rPr>
        <w:t xml:space="preserve"> f</w:t>
      </w:r>
      <w:r w:rsidR="00B6427F">
        <w:t xml:space="preserve"> in the plot is </w:t>
      </w:r>
      <w:r w:rsidR="00B6427F" w:rsidRPr="00B6427F">
        <w:rPr>
          <w:rFonts w:ascii="Symbol" w:hAnsi="Symbol"/>
          <w:i/>
          <w:iCs/>
        </w:rPr>
        <w:t>b</w:t>
      </w:r>
      <w:r w:rsidR="00B6427F">
        <w:t xml:space="preserve">.  </w:t>
      </w:r>
      <w:r w:rsidR="0086153E">
        <w:t>Explain how figure 4 can be used to predict “phase-behavior” in this system.</w:t>
      </w:r>
    </w:p>
    <w:p w14:paraId="42828B05" w14:textId="45FA3528" w:rsidR="00C9419F" w:rsidRDefault="00E1692A" w:rsidP="00656D6F">
      <w:pPr>
        <w:pStyle w:val="ListParagraph"/>
        <w:numPr>
          <w:ilvl w:val="0"/>
          <w:numId w:val="1"/>
        </w:numPr>
      </w:pPr>
      <w:r>
        <w:t xml:space="preserve">For linear polymers three states are observed (so far), the </w:t>
      </w:r>
      <w:r>
        <w:rPr>
          <w:rFonts w:ascii="Symbol" w:hAnsi="Symbol"/>
          <w:i/>
          <w:iCs/>
        </w:rPr>
        <w:t>q</w:t>
      </w:r>
      <w:r>
        <w:t xml:space="preserve"> or Gaussian state, or random walk, the expanded coil or self-avoiding walk described by Flory-</w:t>
      </w:r>
      <w:proofErr w:type="spellStart"/>
      <w:r>
        <w:t>Krigbaum</w:t>
      </w:r>
      <w:proofErr w:type="spellEnd"/>
      <w:r>
        <w:t xml:space="preserve">, and the collapsed coil state which is a 3d object.  What are the analogous states in Xu’s results?  Compare </w:t>
      </w:r>
      <w:proofErr w:type="spellStart"/>
      <w:r w:rsidRPr="00E1692A">
        <w:rPr>
          <w:i/>
          <w:iCs/>
        </w:rPr>
        <w:t>d</w:t>
      </w:r>
      <w:r w:rsidRPr="00E1692A">
        <w:rPr>
          <w:vertAlign w:val="subscript"/>
        </w:rPr>
        <w:t>f</w:t>
      </w:r>
      <w:proofErr w:type="spellEnd"/>
      <w:r>
        <w:t xml:space="preserve">, </w:t>
      </w:r>
      <w:proofErr w:type="spellStart"/>
      <w:r w:rsidRPr="00E1692A">
        <w:rPr>
          <w:i/>
          <w:iCs/>
        </w:rPr>
        <w:t>d</w:t>
      </w:r>
      <w:r w:rsidRPr="00E1692A">
        <w:rPr>
          <w:vertAlign w:val="subscript"/>
        </w:rPr>
        <w:t>min</w:t>
      </w:r>
      <w:proofErr w:type="spellEnd"/>
      <w:r>
        <w:t xml:space="preserve">, and </w:t>
      </w:r>
      <w:r w:rsidRPr="00E1692A">
        <w:rPr>
          <w:i/>
          <w:iCs/>
        </w:rPr>
        <w:t>c</w:t>
      </w:r>
      <w:r>
        <w:t xml:space="preserve"> for the three linear-polymer states with the values for Xu’s six classes in Figure 3. </w:t>
      </w:r>
    </w:p>
    <w:sectPr w:rsidR="00C9419F" w:rsidSect="003B703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1B366" w14:textId="77777777" w:rsidR="007C7B4D" w:rsidRDefault="007C7B4D" w:rsidP="007A797E">
      <w:r>
        <w:separator/>
      </w:r>
    </w:p>
  </w:endnote>
  <w:endnote w:type="continuationSeparator" w:id="0">
    <w:p w14:paraId="0F01E8E7" w14:textId="77777777" w:rsidR="007C7B4D" w:rsidRDefault="007C7B4D" w:rsidP="007A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130908"/>
      <w:docPartObj>
        <w:docPartGallery w:val="Page Numbers (Bottom of Page)"/>
        <w:docPartUnique/>
      </w:docPartObj>
    </w:sdtPr>
    <w:sdtContent>
      <w:p w14:paraId="4048DD54" w14:textId="62CC58EB"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72EBC" w14:textId="77777777" w:rsidR="007A797E" w:rsidRDefault="007A797E" w:rsidP="007A7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7245994"/>
      <w:docPartObj>
        <w:docPartGallery w:val="Page Numbers (Bottom of Page)"/>
        <w:docPartUnique/>
      </w:docPartObj>
    </w:sdtPr>
    <w:sdtContent>
      <w:p w14:paraId="75C98F1F" w14:textId="0939EB1F"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F2FC66" w14:textId="77777777" w:rsidR="007A797E" w:rsidRDefault="007A797E" w:rsidP="007A7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2A29" w14:textId="77777777" w:rsidR="007C7B4D" w:rsidRDefault="007C7B4D" w:rsidP="007A797E">
      <w:r>
        <w:separator/>
      </w:r>
    </w:p>
  </w:footnote>
  <w:footnote w:type="continuationSeparator" w:id="0">
    <w:p w14:paraId="617202C5" w14:textId="77777777" w:rsidR="007C7B4D" w:rsidRDefault="007C7B4D" w:rsidP="007A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DCF"/>
    <w:multiLevelType w:val="hybridMultilevel"/>
    <w:tmpl w:val="B7F4B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93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3"/>
    <w:rsid w:val="000434F7"/>
    <w:rsid w:val="000E05B7"/>
    <w:rsid w:val="00122C43"/>
    <w:rsid w:val="00233299"/>
    <w:rsid w:val="00282950"/>
    <w:rsid w:val="00385318"/>
    <w:rsid w:val="003B7032"/>
    <w:rsid w:val="003E3607"/>
    <w:rsid w:val="004215A1"/>
    <w:rsid w:val="00476710"/>
    <w:rsid w:val="0053565D"/>
    <w:rsid w:val="00626FC0"/>
    <w:rsid w:val="00656D6F"/>
    <w:rsid w:val="00677644"/>
    <w:rsid w:val="006C08C9"/>
    <w:rsid w:val="00701551"/>
    <w:rsid w:val="00734EB0"/>
    <w:rsid w:val="007A797E"/>
    <w:rsid w:val="007C7B4D"/>
    <w:rsid w:val="0086153E"/>
    <w:rsid w:val="00997779"/>
    <w:rsid w:val="00AF757D"/>
    <w:rsid w:val="00B6427F"/>
    <w:rsid w:val="00C9419F"/>
    <w:rsid w:val="00D6196A"/>
    <w:rsid w:val="00E1692A"/>
    <w:rsid w:val="00F15065"/>
    <w:rsid w:val="00F74F45"/>
    <w:rsid w:val="00FF225E"/>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E19C8"/>
  <w15:chartTrackingRefBased/>
  <w15:docId w15:val="{9E445457-8429-8E42-9EDC-C2266CB8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C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C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C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C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C43"/>
    <w:rPr>
      <w:rFonts w:eastAsiaTheme="majorEastAsia" w:cstheme="majorBidi"/>
      <w:color w:val="272727" w:themeColor="text1" w:themeTint="D8"/>
    </w:rPr>
  </w:style>
  <w:style w:type="paragraph" w:styleId="Title">
    <w:name w:val="Title"/>
    <w:basedOn w:val="Normal"/>
    <w:next w:val="Normal"/>
    <w:link w:val="TitleChar"/>
    <w:uiPriority w:val="10"/>
    <w:qFormat/>
    <w:rsid w:val="00122C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C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C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C43"/>
    <w:rPr>
      <w:i/>
      <w:iCs/>
      <w:color w:val="404040" w:themeColor="text1" w:themeTint="BF"/>
    </w:rPr>
  </w:style>
  <w:style w:type="paragraph" w:styleId="ListParagraph">
    <w:name w:val="List Paragraph"/>
    <w:basedOn w:val="Normal"/>
    <w:uiPriority w:val="34"/>
    <w:qFormat/>
    <w:rsid w:val="00122C43"/>
    <w:pPr>
      <w:ind w:left="720"/>
      <w:contextualSpacing/>
    </w:pPr>
  </w:style>
  <w:style w:type="character" w:styleId="IntenseEmphasis">
    <w:name w:val="Intense Emphasis"/>
    <w:basedOn w:val="DefaultParagraphFont"/>
    <w:uiPriority w:val="21"/>
    <w:qFormat/>
    <w:rsid w:val="00122C43"/>
    <w:rPr>
      <w:i/>
      <w:iCs/>
      <w:color w:val="0F4761" w:themeColor="accent1" w:themeShade="BF"/>
    </w:rPr>
  </w:style>
  <w:style w:type="paragraph" w:styleId="IntenseQuote">
    <w:name w:val="Intense Quote"/>
    <w:basedOn w:val="Normal"/>
    <w:next w:val="Normal"/>
    <w:link w:val="IntenseQuoteChar"/>
    <w:uiPriority w:val="30"/>
    <w:qFormat/>
    <w:rsid w:val="00122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C43"/>
    <w:rPr>
      <w:i/>
      <w:iCs/>
      <w:color w:val="0F4761" w:themeColor="accent1" w:themeShade="BF"/>
    </w:rPr>
  </w:style>
  <w:style w:type="character" w:styleId="IntenseReference">
    <w:name w:val="Intense Reference"/>
    <w:basedOn w:val="DefaultParagraphFont"/>
    <w:uiPriority w:val="32"/>
    <w:qFormat/>
    <w:rsid w:val="00122C43"/>
    <w:rPr>
      <w:b/>
      <w:bCs/>
      <w:smallCaps/>
      <w:color w:val="0F4761" w:themeColor="accent1" w:themeShade="BF"/>
      <w:spacing w:val="5"/>
    </w:rPr>
  </w:style>
  <w:style w:type="paragraph" w:styleId="Footer">
    <w:name w:val="footer"/>
    <w:basedOn w:val="Normal"/>
    <w:link w:val="FooterChar"/>
    <w:uiPriority w:val="99"/>
    <w:unhideWhenUsed/>
    <w:rsid w:val="007A797E"/>
    <w:pPr>
      <w:tabs>
        <w:tab w:val="center" w:pos="4680"/>
        <w:tab w:val="right" w:pos="9360"/>
      </w:tabs>
    </w:pPr>
  </w:style>
  <w:style w:type="character" w:customStyle="1" w:styleId="FooterChar">
    <w:name w:val="Footer Char"/>
    <w:basedOn w:val="DefaultParagraphFont"/>
    <w:link w:val="Footer"/>
    <w:uiPriority w:val="99"/>
    <w:rsid w:val="007A797E"/>
  </w:style>
  <w:style w:type="character" w:styleId="PageNumber">
    <w:name w:val="page number"/>
    <w:basedOn w:val="DefaultParagraphFont"/>
    <w:uiPriority w:val="99"/>
    <w:semiHidden/>
    <w:unhideWhenUsed/>
    <w:rsid w:val="007A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57086">
      <w:bodyDiv w:val="1"/>
      <w:marLeft w:val="0"/>
      <w:marRight w:val="0"/>
      <w:marTop w:val="0"/>
      <w:marBottom w:val="0"/>
      <w:divBdr>
        <w:top w:val="none" w:sz="0" w:space="0" w:color="auto"/>
        <w:left w:val="none" w:sz="0" w:space="0" w:color="auto"/>
        <w:bottom w:val="none" w:sz="0" w:space="0" w:color="auto"/>
        <w:right w:val="none" w:sz="0" w:space="0" w:color="auto"/>
      </w:divBdr>
    </w:div>
    <w:div w:id="398525587">
      <w:bodyDiv w:val="1"/>
      <w:marLeft w:val="0"/>
      <w:marRight w:val="0"/>
      <w:marTop w:val="0"/>
      <w:marBottom w:val="0"/>
      <w:divBdr>
        <w:top w:val="none" w:sz="0" w:space="0" w:color="auto"/>
        <w:left w:val="none" w:sz="0" w:space="0" w:color="auto"/>
        <w:bottom w:val="none" w:sz="0" w:space="0" w:color="auto"/>
        <w:right w:val="none" w:sz="0" w:space="0" w:color="auto"/>
      </w:divBdr>
    </w:div>
    <w:div w:id="1414084534">
      <w:bodyDiv w:val="1"/>
      <w:marLeft w:val="0"/>
      <w:marRight w:val="0"/>
      <w:marTop w:val="0"/>
      <w:marBottom w:val="0"/>
      <w:divBdr>
        <w:top w:val="none" w:sz="0" w:space="0" w:color="auto"/>
        <w:left w:val="none" w:sz="0" w:space="0" w:color="auto"/>
        <w:bottom w:val="none" w:sz="0" w:space="0" w:color="auto"/>
        <w:right w:val="none" w:sz="0" w:space="0" w:color="auto"/>
      </w:divBdr>
    </w:div>
    <w:div w:id="1800996973">
      <w:bodyDiv w:val="1"/>
      <w:marLeft w:val="0"/>
      <w:marRight w:val="0"/>
      <w:marTop w:val="0"/>
      <w:marBottom w:val="0"/>
      <w:divBdr>
        <w:top w:val="none" w:sz="0" w:space="0" w:color="auto"/>
        <w:left w:val="none" w:sz="0" w:space="0" w:color="auto"/>
        <w:bottom w:val="none" w:sz="0" w:space="0" w:color="auto"/>
        <w:right w:val="none" w:sz="0" w:space="0" w:color="auto"/>
      </w:divBdr>
    </w:div>
    <w:div w:id="1962370622">
      <w:bodyDiv w:val="1"/>
      <w:marLeft w:val="0"/>
      <w:marRight w:val="0"/>
      <w:marTop w:val="0"/>
      <w:marBottom w:val="0"/>
      <w:divBdr>
        <w:top w:val="none" w:sz="0" w:space="0" w:color="auto"/>
        <w:left w:val="none" w:sz="0" w:space="0" w:color="auto"/>
        <w:bottom w:val="none" w:sz="0" w:space="0" w:color="auto"/>
        <w:right w:val="none" w:sz="0" w:space="0" w:color="auto"/>
      </w:divBdr>
    </w:div>
    <w:div w:id="20317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14</cp:revision>
  <cp:lastPrinted>2025-02-20T04:11:00Z</cp:lastPrinted>
  <dcterms:created xsi:type="dcterms:W3CDTF">2025-02-19T13:22:00Z</dcterms:created>
  <dcterms:modified xsi:type="dcterms:W3CDTF">2025-03-04T02:04:00Z</dcterms:modified>
</cp:coreProperties>
</file>