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D50E2" w14:textId="77777777" w:rsidR="003E2DBB" w:rsidRDefault="003A0171" w:rsidP="00D063EF">
      <w:pPr>
        <w:jc w:val="center"/>
        <w:rPr>
          <w:b/>
        </w:rPr>
      </w:pPr>
      <w:r w:rsidRPr="003A0171">
        <w:rPr>
          <w:b/>
        </w:rPr>
        <w:t>Polymer Physics</w:t>
      </w:r>
    </w:p>
    <w:p w14:paraId="53299F55" w14:textId="2DBC0F55" w:rsidR="003A0171" w:rsidRPr="006742D1" w:rsidRDefault="001326F0" w:rsidP="00D063EF">
      <w:pPr>
        <w:jc w:val="center"/>
        <w:rPr>
          <w:b/>
        </w:rPr>
      </w:pPr>
      <w:r>
        <w:rPr>
          <w:b/>
        </w:rPr>
        <w:t>HW</w:t>
      </w:r>
      <w:r w:rsidR="003A0171" w:rsidRPr="006742D1">
        <w:rPr>
          <w:b/>
        </w:rPr>
        <w:t xml:space="preserve"> </w:t>
      </w:r>
      <w:r w:rsidR="008A6F14">
        <w:rPr>
          <w:b/>
        </w:rPr>
        <w:t>8</w:t>
      </w:r>
    </w:p>
    <w:p w14:paraId="53194E9C" w14:textId="51EABA00" w:rsidR="003A0171" w:rsidRPr="0020113F" w:rsidRDefault="008A6F14" w:rsidP="003A0171">
      <w:pPr>
        <w:jc w:val="center"/>
        <w:rPr>
          <w:b/>
        </w:rPr>
      </w:pPr>
      <w:r>
        <w:rPr>
          <w:b/>
        </w:rPr>
        <w:t>March</w:t>
      </w:r>
      <w:r w:rsidR="001326F0">
        <w:rPr>
          <w:b/>
        </w:rPr>
        <w:t xml:space="preserve"> </w:t>
      </w:r>
      <w:r>
        <w:rPr>
          <w:b/>
        </w:rPr>
        <w:t>4</w:t>
      </w:r>
      <w:r w:rsidR="001326F0" w:rsidRPr="00186784">
        <w:rPr>
          <w:b/>
        </w:rPr>
        <w:t>, 202</w:t>
      </w:r>
      <w:r w:rsidR="001326F0">
        <w:rPr>
          <w:b/>
        </w:rPr>
        <w:t xml:space="preserve">2 (Due March </w:t>
      </w:r>
      <w:r>
        <w:rPr>
          <w:b/>
        </w:rPr>
        <w:t>8</w:t>
      </w:r>
      <w:r w:rsidR="001326F0">
        <w:rPr>
          <w:b/>
        </w:rPr>
        <w:t>)</w:t>
      </w:r>
    </w:p>
    <w:p w14:paraId="1E591AC4" w14:textId="742AC378" w:rsidR="003A0171" w:rsidRDefault="003A0171"/>
    <w:p w14:paraId="14DD054B" w14:textId="774F2CC7" w:rsidR="008A6F14" w:rsidRDefault="008A6F14" w:rsidP="00713DC0">
      <w:r>
        <w:t xml:space="preserve">Marina </w:t>
      </w:r>
      <w:proofErr w:type="spellStart"/>
      <w:r>
        <w:t>Tsianou</w:t>
      </w:r>
      <w:proofErr w:type="spellEnd"/>
      <w:r>
        <w:t xml:space="preserve"> at the University of Buffalo has studied polymer/micelle hybrid structures for </w:t>
      </w:r>
      <w:proofErr w:type="gramStart"/>
      <w:r>
        <w:t>a number of</w:t>
      </w:r>
      <w:proofErr w:type="gramEnd"/>
      <w:r>
        <w:t xml:space="preserve"> years.  This year she published </w:t>
      </w:r>
      <w:proofErr w:type="spellStart"/>
      <w:r>
        <w:t>Kancharla</w:t>
      </w:r>
      <w:proofErr w:type="spellEnd"/>
      <w:r>
        <w:t xml:space="preserve"> S, </w:t>
      </w:r>
      <w:proofErr w:type="spellStart"/>
      <w:r>
        <w:t>Bedrov</w:t>
      </w:r>
      <w:proofErr w:type="spellEnd"/>
      <w:r>
        <w:t xml:space="preserve"> D, </w:t>
      </w:r>
      <w:proofErr w:type="spellStart"/>
      <w:r>
        <w:t>Tsianou</w:t>
      </w:r>
      <w:proofErr w:type="spellEnd"/>
      <w:r>
        <w:t xml:space="preserve"> M, </w:t>
      </w:r>
      <w:proofErr w:type="spellStart"/>
      <w:r>
        <w:t>Alexandrisdis</w:t>
      </w:r>
      <w:proofErr w:type="spellEnd"/>
      <w:r>
        <w:t xml:space="preserve"> P </w:t>
      </w:r>
      <w:r>
        <w:rPr>
          <w:i/>
          <w:iCs/>
        </w:rPr>
        <w:t>Structure and composition of mixed micelles formed by nonionic block copolymers and ionic surfactants in water determined by small-angle neutron scattering with contrast variation</w:t>
      </w:r>
      <w:r>
        <w:t xml:space="preserve"> J. Coll. Inf. Sci. </w:t>
      </w:r>
      <w:r>
        <w:rPr>
          <w:b/>
          <w:bCs/>
        </w:rPr>
        <w:t xml:space="preserve">609 </w:t>
      </w:r>
      <w:r>
        <w:t>456-</w:t>
      </w:r>
      <w:r w:rsidR="004C4DD1">
        <w:t xml:space="preserve">68 (2022).  The paper investigates the structural self-assembly of a ternary system composed of aqueous colloidal suspensions of sodium </w:t>
      </w:r>
      <w:proofErr w:type="spellStart"/>
      <w:r w:rsidR="004C4DD1">
        <w:t>dodecylesulfate</w:t>
      </w:r>
      <w:proofErr w:type="spellEnd"/>
      <w:r w:rsidR="004C4DD1">
        <w:t xml:space="preserve"> (SDS) (also called sodium lauryl sulfate)</w:t>
      </w:r>
      <w:r w:rsidR="00D150D4">
        <w:t xml:space="preserve"> and</w:t>
      </w:r>
      <w:r w:rsidR="004C4DD1">
        <w:t xml:space="preserve"> </w:t>
      </w:r>
      <w:proofErr w:type="spellStart"/>
      <w:r w:rsidR="004C4DD1">
        <w:t>pluronic</w:t>
      </w:r>
      <w:proofErr w:type="spellEnd"/>
      <w:r w:rsidR="004C4DD1">
        <w:t xml:space="preserve"> (or poloxamer) (PEO-PPO-PEO).  The study is well summarized in the graphical abstract</w:t>
      </w:r>
      <w:r w:rsidR="00D150D4">
        <w:t xml:space="preserve"> (top figure below)</w:t>
      </w:r>
      <w:r w:rsidR="004C4DD1">
        <w:t xml:space="preserve"> which shows PPO (red) chains embedded in the hydrophobic core of the SDS micelle with some </w:t>
      </w:r>
      <w:proofErr w:type="gramStart"/>
      <w:r w:rsidR="004C4DD1">
        <w:t>water</w:t>
      </w:r>
      <w:r w:rsidR="00D150D4">
        <w:t>,</w:t>
      </w:r>
      <w:r w:rsidR="004C4DD1">
        <w:t xml:space="preserve"> and</w:t>
      </w:r>
      <w:proofErr w:type="gramEnd"/>
      <w:r w:rsidR="004C4DD1">
        <w:t xml:space="preserve"> dangling hairy PEO chains.  </w:t>
      </w:r>
    </w:p>
    <w:p w14:paraId="02BFC742" w14:textId="124BF33D" w:rsidR="004C4DD1" w:rsidRDefault="004C4DD1" w:rsidP="00713DC0"/>
    <w:p w14:paraId="06BF30DA" w14:textId="06159238" w:rsidR="004C4DD1" w:rsidRDefault="004C4DD1" w:rsidP="00101464">
      <w:pPr>
        <w:jc w:val="center"/>
      </w:pPr>
      <w:r w:rsidRPr="004C4DD1">
        <w:drawing>
          <wp:inline distT="0" distB="0" distL="0" distR="0" wp14:anchorId="021D699E" wp14:editId="3AE26552">
            <wp:extent cx="3458220" cy="1723568"/>
            <wp:effectExtent l="0" t="0" r="0" b="381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7"/>
                    <a:stretch>
                      <a:fillRect/>
                    </a:stretch>
                  </pic:blipFill>
                  <pic:spPr>
                    <a:xfrm>
                      <a:off x="0" y="0"/>
                      <a:ext cx="3502659" cy="1745716"/>
                    </a:xfrm>
                    <a:prstGeom prst="rect">
                      <a:avLst/>
                    </a:prstGeom>
                  </pic:spPr>
                </pic:pic>
              </a:graphicData>
            </a:graphic>
          </wp:inline>
        </w:drawing>
      </w:r>
      <w:r w:rsidR="00101464" w:rsidRPr="00101464">
        <w:drawing>
          <wp:inline distT="0" distB="0" distL="0" distR="0" wp14:anchorId="55A97249" wp14:editId="2F73BC8F">
            <wp:extent cx="5943600" cy="193167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5943600" cy="1931670"/>
                    </a:xfrm>
                    <a:prstGeom prst="rect">
                      <a:avLst/>
                    </a:prstGeom>
                  </pic:spPr>
                </pic:pic>
              </a:graphicData>
            </a:graphic>
          </wp:inline>
        </w:drawing>
      </w:r>
    </w:p>
    <w:p w14:paraId="7667ED94" w14:textId="1DC99DA4" w:rsidR="004C4DD1" w:rsidRDefault="00101464" w:rsidP="00713DC0">
      <w:r>
        <w:t xml:space="preserve">Figure 1 </w:t>
      </w:r>
      <w:r w:rsidR="00D150D4">
        <w:t xml:space="preserve">(bottom figure above) </w:t>
      </w:r>
      <w:r>
        <w:t>shows the impact of increasing SDS concentration on the self-assembled structure.</w:t>
      </w:r>
      <w:r w:rsidR="0060088E">
        <w:t xml:space="preserve">  A surfactant added to water at low concentrations has an equilibrium between surfactant at the air water interface and free surfactant molecules.  More surfactant goes into water at higher temperature.  At the critical micelle concentration (CMC) of about 0.2 </w:t>
      </w:r>
      <w:proofErr w:type="spellStart"/>
      <w:r w:rsidR="0060088E">
        <w:t>wt</w:t>
      </w:r>
      <w:proofErr w:type="spellEnd"/>
      <w:r w:rsidR="0060088E">
        <w:t xml:space="preserve">% (0.008 mole/L) there are sufficient surfactant molecules in solution that some meet each other and form micelles.  At this point there is a ternary equilibrium between surface molecules, free surfactant molecules and micellar surfactant molecules.  </w:t>
      </w:r>
      <w:r w:rsidR="005F48BE">
        <w:t xml:space="preserve">The addition of oil or dirt shifts </w:t>
      </w:r>
      <w:proofErr w:type="gramStart"/>
      <w:r w:rsidR="005F48BE">
        <w:t>this equilibria</w:t>
      </w:r>
      <w:proofErr w:type="gramEnd"/>
      <w:r w:rsidR="005F48BE">
        <w:t xml:space="preserve"> since oil or dirt goes to the center of the micelles.  For the addition of </w:t>
      </w:r>
      <w:proofErr w:type="spellStart"/>
      <w:r w:rsidR="005F48BE">
        <w:t>pluronics</w:t>
      </w:r>
      <w:proofErr w:type="spellEnd"/>
      <w:r w:rsidR="005F48BE">
        <w:t xml:space="preserve"> the PPO block acts as oil but has some water </w:t>
      </w:r>
      <w:proofErr w:type="gramStart"/>
      <w:r w:rsidR="005F48BE">
        <w:t>compatibility</w:t>
      </w:r>
      <w:proofErr w:type="gramEnd"/>
      <w:r w:rsidR="005F48BE">
        <w:t xml:space="preserve"> so it goes to the core but carries some water with it</w:t>
      </w:r>
      <w:r w:rsidR="00BC1E32">
        <w:t xml:space="preserve">.  </w:t>
      </w:r>
      <w:proofErr w:type="spellStart"/>
      <w:r w:rsidR="00BC1E32">
        <w:t>Kancharla</w:t>
      </w:r>
      <w:proofErr w:type="spellEnd"/>
      <w:r w:rsidR="00BC1E32">
        <w:t xml:space="preserve"> performed neutron scattering (SANS) on these ternary systems to study th</w:t>
      </w:r>
      <w:r w:rsidR="00D150D4">
        <w:t>is</w:t>
      </w:r>
      <w:r w:rsidR="00BC1E32">
        <w:t xml:space="preserve"> structural emergence.  The data was fit with equation (1) which contains three terms.  The </w:t>
      </w:r>
      <w:r w:rsidR="00BC1E32">
        <w:lastRenderedPageBreak/>
        <w:t>summation of three terms indicates that the three components are independent of each other, as if you had three layers of material</w:t>
      </w:r>
      <w:r w:rsidR="002A4D6C">
        <w:t xml:space="preserve"> in separate containers</w:t>
      </w:r>
      <w:r w:rsidR="00BC1E32">
        <w:t xml:space="preserve"> in the neutron beam that d</w:t>
      </w:r>
      <w:r w:rsidR="00D150D4">
        <w:t>o not</w:t>
      </w:r>
      <w:r w:rsidR="00BC1E32">
        <w:t xml:space="preserve"> interact</w:t>
      </w:r>
      <w:r w:rsidR="002A4D6C">
        <w:t xml:space="preserve"> with each other</w:t>
      </w:r>
      <w:r w:rsidR="00BC1E32">
        <w:t>, first polymer chains, then micelles, then a flat background.</w:t>
      </w:r>
      <w:r w:rsidR="002A4D6C">
        <w:t xml:space="preserve">  Such a model wouldn’t be appropriate if the components interacted since this would give rise to correlations between the structures which would lead to </w:t>
      </w:r>
      <w:r w:rsidR="00D150D4">
        <w:t>additional and modified</w:t>
      </w:r>
      <w:r w:rsidR="002A4D6C">
        <w:t xml:space="preserve"> scattering signal</w:t>
      </w:r>
      <w:r w:rsidR="00D150D4">
        <w:t>s</w:t>
      </w:r>
      <w:r w:rsidR="002A4D6C">
        <w:t>.</w:t>
      </w:r>
    </w:p>
    <w:p w14:paraId="5191F14D" w14:textId="66E2FBE6" w:rsidR="002A4D6C" w:rsidRDefault="002A4D6C" w:rsidP="00713DC0"/>
    <w:p w14:paraId="2CE69A18" w14:textId="35399DAC" w:rsidR="002A4D6C" w:rsidRDefault="002A4D6C" w:rsidP="00B64EC6">
      <w:pPr>
        <w:pStyle w:val="ListParagraph"/>
        <w:numPr>
          <w:ilvl w:val="0"/>
          <w:numId w:val="24"/>
        </w:numPr>
      </w:pPr>
      <w:r>
        <w:t xml:space="preserve">Equation (2) has a familiar form where </w:t>
      </w:r>
      <w:r w:rsidRPr="00B64EC6">
        <w:rPr>
          <w:i/>
          <w:iCs/>
        </w:rPr>
        <w:t>m</w:t>
      </w:r>
      <w:r>
        <w:t xml:space="preserve"> is set to 2 by </w:t>
      </w:r>
      <w:proofErr w:type="spellStart"/>
      <w:r>
        <w:t>Kancharla</w:t>
      </w:r>
      <w:proofErr w:type="spellEnd"/>
      <w:r>
        <w:t xml:space="preserve"> and </w:t>
      </w:r>
      <w:r w:rsidRPr="00B64EC6">
        <w:rPr>
          <w:i/>
          <w:iCs/>
        </w:rPr>
        <w:t>n</w:t>
      </w:r>
      <w:r>
        <w:t xml:space="preserve"> has an arbitrary value between 1 and 3 for mass fractal “clusters” of “elusive origin”.  The values used for </w:t>
      </w:r>
      <w:r w:rsidRPr="00B64EC6">
        <w:rPr>
          <w:i/>
          <w:iCs/>
        </w:rPr>
        <w:t>n</w:t>
      </w:r>
      <w:r>
        <w:t xml:space="preserve"> are not given.  Explain the problems with the Ornstein-Zernike scattering function called the </w:t>
      </w:r>
      <w:r w:rsidR="007064F4">
        <w:t xml:space="preserve">Lorentzian function by </w:t>
      </w:r>
      <w:proofErr w:type="spellStart"/>
      <w:r w:rsidR="007064F4">
        <w:t>Kancharla</w:t>
      </w:r>
      <w:proofErr w:type="spellEnd"/>
      <w:r w:rsidR="007064F4">
        <w:t xml:space="preserve">.  </w:t>
      </w:r>
      <w:proofErr w:type="spellStart"/>
      <w:r w:rsidR="007064F4">
        <w:t>Kancharla</w:t>
      </w:r>
      <w:proofErr w:type="spellEnd"/>
      <w:r w:rsidR="007064F4">
        <w:t xml:space="preserve"> indicates that this function “characterizes polymer-solvent interactions” and that </w:t>
      </w:r>
      <w:r w:rsidR="007064F4" w:rsidRPr="00B64EC6">
        <w:rPr>
          <w:rFonts w:ascii="Symbol" w:hAnsi="Symbol"/>
          <w:i/>
          <w:iCs/>
        </w:rPr>
        <w:t>x</w:t>
      </w:r>
      <w:r w:rsidR="007064F4">
        <w:t xml:space="preserve"> describes “the average distance between two polymer chains”.  Critique this function.  Is it appropriate to consider the first and second terms in equation (2) as being independent?  Is </w:t>
      </w:r>
      <w:r w:rsidR="007064F4" w:rsidRPr="00B64EC6">
        <w:rPr>
          <w:i/>
          <w:iCs/>
        </w:rPr>
        <w:t>m</w:t>
      </w:r>
      <w:r w:rsidR="007064F4">
        <w:t xml:space="preserve"> = 2 appropriate for PEO-PPO-PEO block copolymer chains in water (PEO is soluble in water and PPO isn’t)?  Does </w:t>
      </w:r>
      <w:r w:rsidR="007064F4" w:rsidRPr="00B64EC6">
        <w:rPr>
          <w:rFonts w:ascii="Symbol" w:hAnsi="Symbol"/>
          <w:i/>
          <w:iCs/>
        </w:rPr>
        <w:t>x</w:t>
      </w:r>
      <w:r w:rsidR="007064F4">
        <w:t xml:space="preserve"> describe</w:t>
      </w:r>
      <w:r w:rsidR="007064F4">
        <w:t xml:space="preserve"> the distance between chains?  </w:t>
      </w:r>
      <w:r w:rsidR="00B64EC6">
        <w:t xml:space="preserve">Can the distance between chains be observed in the semi-dilute regime as indicated by </w:t>
      </w:r>
      <w:proofErr w:type="spellStart"/>
      <w:r w:rsidR="00B64EC6">
        <w:t>Kancharla</w:t>
      </w:r>
      <w:proofErr w:type="spellEnd"/>
      <w:r w:rsidR="00B64EC6">
        <w:t xml:space="preserve">?  </w:t>
      </w:r>
      <w:r w:rsidR="006736A0">
        <w:t>Extrapolate</w:t>
      </w:r>
      <w:r w:rsidR="00B64EC6">
        <w:t xml:space="preserve"> the second term to low-q and to high-q to get an expression for </w:t>
      </w:r>
      <w:proofErr w:type="spellStart"/>
      <w:r w:rsidR="00B64EC6" w:rsidRPr="00B64EC6">
        <w:rPr>
          <w:i/>
          <w:iCs/>
        </w:rPr>
        <w:t>R</w:t>
      </w:r>
      <w:r w:rsidR="00B64EC6" w:rsidRPr="00B64EC6">
        <w:rPr>
          <w:vertAlign w:val="subscript"/>
        </w:rPr>
        <w:t>g</w:t>
      </w:r>
      <w:proofErr w:type="spellEnd"/>
      <w:r w:rsidR="00B64EC6">
        <w:t xml:space="preserve"> and for the power-law </w:t>
      </w:r>
      <w:proofErr w:type="spellStart"/>
      <w:r w:rsidR="00B64EC6">
        <w:t>prefactor</w:t>
      </w:r>
      <w:proofErr w:type="spellEnd"/>
      <w:r w:rsidR="00B64EC6">
        <w:t xml:space="preserve"> for the -2 power-law regime for this function</w:t>
      </w:r>
      <w:r w:rsidR="006736A0">
        <w:t xml:space="preserve"> as was done in the ppt slides for class.</w:t>
      </w:r>
    </w:p>
    <w:p w14:paraId="77D83905" w14:textId="75995472" w:rsidR="00B64EC6" w:rsidRDefault="00B64EC6" w:rsidP="00B64EC6">
      <w:pPr>
        <w:pStyle w:val="ListParagraph"/>
        <w:numPr>
          <w:ilvl w:val="0"/>
          <w:numId w:val="24"/>
        </w:numPr>
      </w:pPr>
      <w:r>
        <w:t>The scattering patterns in figures 2 and 3 display peaks that are associated with two distinct structural features</w:t>
      </w:r>
      <w:r w:rsidR="00E75957">
        <w:t>, equation (3)</w:t>
      </w:r>
      <w:r>
        <w:t>.  First, the micelles are rather perfect structures so their form factor (</w:t>
      </w:r>
      <w:r w:rsidR="00E75957">
        <w:rPr>
          <w:i/>
          <w:iCs/>
        </w:rPr>
        <w:t>P</w:t>
      </w:r>
      <w:r>
        <w:t>(</w:t>
      </w:r>
      <w:r w:rsidRPr="00E75957">
        <w:rPr>
          <w:i/>
          <w:iCs/>
        </w:rPr>
        <w:t>q</w:t>
      </w:r>
      <w:r>
        <w:t>)) contains peaks associated with the perfect distances in the structure where there is a discrete change in neutron contrast, such as the diameter of a sphere.  Secondly, the micelles are charged so they repel each other leading to an organization of the micelles</w:t>
      </w:r>
      <w:r w:rsidR="00E75957">
        <w:t xml:space="preserve"> as reflected by the structure factor </w:t>
      </w:r>
      <w:r w:rsidR="00E75957" w:rsidRPr="00E75957">
        <w:rPr>
          <w:i/>
          <w:iCs/>
        </w:rPr>
        <w:t>S</w:t>
      </w:r>
      <w:r w:rsidR="00E75957">
        <w:t>(</w:t>
      </w:r>
      <w:r w:rsidR="00E75957" w:rsidRPr="00E75957">
        <w:rPr>
          <w:i/>
          <w:iCs/>
        </w:rPr>
        <w:t>q</w:t>
      </w:r>
      <w:r w:rsidR="00E75957">
        <w:t xml:space="preserve">), </w:t>
      </w:r>
      <w:r>
        <w:t xml:space="preserve">with a </w:t>
      </w:r>
      <w:r w:rsidR="00E75957">
        <w:t>repeat distance for this organization.  These prefect distances</w:t>
      </w:r>
      <w:r w:rsidR="004D6130">
        <w:t xml:space="preserve"> of correlation</w:t>
      </w:r>
      <w:r w:rsidR="00E75957">
        <w:t xml:space="preserve"> also give rise to peaks.  The summation in equation (1) indicates that the first two terms are independent of each other.  Is equation (1) consistent with Figure 1, region III?  </w:t>
      </w:r>
      <w:r w:rsidR="00C00BC2">
        <w:t>(</w:t>
      </w:r>
      <w:r w:rsidR="00E75957">
        <w:t>For instance, would the organization of the micelles impact the organization of the Pluronic chains?</w:t>
      </w:r>
      <w:r w:rsidR="00C00BC2">
        <w:t>)</w:t>
      </w:r>
    </w:p>
    <w:p w14:paraId="0D1F3754" w14:textId="0A4D0E03" w:rsidR="00C00BC2" w:rsidRDefault="00C00BC2" w:rsidP="00B64EC6">
      <w:pPr>
        <w:pStyle w:val="ListParagraph"/>
        <w:numPr>
          <w:ilvl w:val="0"/>
          <w:numId w:val="24"/>
        </w:numPr>
      </w:pPr>
      <w:r>
        <w:t xml:space="preserve">For S(q) in equation (3) </w:t>
      </w:r>
      <w:proofErr w:type="spellStart"/>
      <w:r>
        <w:t>Kancharla</w:t>
      </w:r>
      <w:proofErr w:type="spellEnd"/>
      <w:r>
        <w:t xml:space="preserve"> refers to </w:t>
      </w:r>
      <w:proofErr w:type="spellStart"/>
      <w:r>
        <w:t>Fajalia</w:t>
      </w:r>
      <w:proofErr w:type="spellEnd"/>
      <w:r>
        <w:t xml:space="preserve"> AI, </w:t>
      </w:r>
      <w:proofErr w:type="spellStart"/>
      <w:r>
        <w:t>Tsianou</w:t>
      </w:r>
      <w:proofErr w:type="spellEnd"/>
      <w:r>
        <w:t xml:space="preserve"> M </w:t>
      </w:r>
      <w:r w:rsidRPr="008A6F14">
        <w:rPr>
          <w:i/>
          <w:iCs/>
        </w:rPr>
        <w:t xml:space="preserve">Charging and </w:t>
      </w:r>
      <w:proofErr w:type="spellStart"/>
      <w:r w:rsidRPr="008A6F14">
        <w:rPr>
          <w:i/>
          <w:iCs/>
        </w:rPr>
        <w:t>Uncharging</w:t>
      </w:r>
      <w:proofErr w:type="spellEnd"/>
      <w:r w:rsidRPr="008A6F14">
        <w:rPr>
          <w:i/>
          <w:iCs/>
        </w:rPr>
        <w:t xml:space="preserve"> a Neutral Polymer in Solution: A Small-Angle Neutron Scattering Investigation</w:t>
      </w:r>
      <w:r>
        <w:t xml:space="preserve"> J. Phys. Chem. B </w:t>
      </w:r>
      <w:r>
        <w:rPr>
          <w:b/>
          <w:bCs/>
        </w:rPr>
        <w:t>118</w:t>
      </w:r>
      <w:r>
        <w:t xml:space="preserve"> 10725-39 (2014)</w:t>
      </w:r>
      <w:r>
        <w:t xml:space="preserve"> which deals with the interaction between SDS and PEO homopolymers</w:t>
      </w:r>
      <w:r w:rsidR="007548B3">
        <w:t xml:space="preserve"> in water/</w:t>
      </w:r>
      <w:r w:rsidR="00F65B0C">
        <w:t>2-propanol mixtures where propanol modifies the micell</w:t>
      </w:r>
      <w:r w:rsidR="004D6130">
        <w:t>ar</w:t>
      </w:r>
      <w:r w:rsidR="00F65B0C">
        <w:t xml:space="preserve"> structure and interferes with the interaction between PEO and the micelles</w:t>
      </w:r>
      <w:r w:rsidR="004D6130">
        <w:t>,</w:t>
      </w:r>
      <w:r w:rsidR="00F65B0C">
        <w:t xml:space="preserve"> as shown in the graphical abstract</w:t>
      </w:r>
      <w:r w:rsidR="004D6130">
        <w:t xml:space="preserve"> below</w:t>
      </w:r>
      <w:r>
        <w:t xml:space="preserve">. </w:t>
      </w:r>
      <w:r w:rsidR="007548B3">
        <w:t xml:space="preserve"> </w:t>
      </w:r>
      <w:r w:rsidR="00F65B0C">
        <w:t xml:space="preserve">In this paper three scattering function are used.  Equation (1) is the same as equation (2) in the 2022 paper.  </w:t>
      </w:r>
      <w:r w:rsidR="00003E54">
        <w:t xml:space="preserve">On page 10727 second column, </w:t>
      </w:r>
      <w:proofErr w:type="spellStart"/>
      <w:r w:rsidR="00F65B0C">
        <w:t>Fajalia</w:t>
      </w:r>
      <w:proofErr w:type="spellEnd"/>
      <w:r w:rsidR="00F65B0C">
        <w:t xml:space="preserve"> indicates that </w:t>
      </w:r>
      <w:r w:rsidR="00F65B0C" w:rsidRPr="00F65B0C">
        <w:rPr>
          <w:rFonts w:ascii="Symbol" w:hAnsi="Symbol"/>
          <w:i/>
          <w:iCs/>
        </w:rPr>
        <w:t>x</w:t>
      </w:r>
      <w:r w:rsidR="00F65B0C">
        <w:t xml:space="preserve"> = </w:t>
      </w:r>
      <w:proofErr w:type="spellStart"/>
      <w:r w:rsidR="00F65B0C">
        <w:rPr>
          <w:i/>
          <w:iCs/>
        </w:rPr>
        <w:t>R</w:t>
      </w:r>
      <w:r w:rsidR="00F65B0C" w:rsidRPr="00F65B0C">
        <w:rPr>
          <w:vertAlign w:val="subscript"/>
        </w:rPr>
        <w:t>g</w:t>
      </w:r>
      <w:proofErr w:type="spellEnd"/>
      <w:r w:rsidR="00F65B0C">
        <w:t>/√2.  Derive this expression.</w:t>
      </w:r>
    </w:p>
    <w:p w14:paraId="1C7C72E3" w14:textId="77777777" w:rsidR="00003E54" w:rsidRPr="008A6F14" w:rsidRDefault="00003E54" w:rsidP="00003E54">
      <w:pPr>
        <w:pStyle w:val="ListParagraph"/>
        <w:jc w:val="center"/>
      </w:pPr>
      <w:r w:rsidRPr="007548B3">
        <w:lastRenderedPageBreak/>
        <w:drawing>
          <wp:inline distT="0" distB="0" distL="0" distR="0" wp14:anchorId="6D502EAD" wp14:editId="381B963D">
            <wp:extent cx="2241311" cy="1964978"/>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2253496" cy="1975661"/>
                    </a:xfrm>
                    <a:prstGeom prst="rect">
                      <a:avLst/>
                    </a:prstGeom>
                  </pic:spPr>
                </pic:pic>
              </a:graphicData>
            </a:graphic>
          </wp:inline>
        </w:drawing>
      </w:r>
    </w:p>
    <w:p w14:paraId="20CA3867" w14:textId="03CEE2F2" w:rsidR="00003E54" w:rsidRDefault="00003E54" w:rsidP="00B64EC6">
      <w:pPr>
        <w:pStyle w:val="ListParagraph"/>
        <w:numPr>
          <w:ilvl w:val="0"/>
          <w:numId w:val="24"/>
        </w:numPr>
      </w:pPr>
      <w:r>
        <w:t xml:space="preserve">The second term for </w:t>
      </w:r>
      <w:proofErr w:type="spellStart"/>
      <w:r>
        <w:t>Fajalia</w:t>
      </w:r>
      <w:r>
        <w:t>’s</w:t>
      </w:r>
      <w:proofErr w:type="spellEnd"/>
      <w:r>
        <w:t xml:space="preserve"> equation (2) is the Debye scattering function for a Gaussian polymer chain.  Is this appropriate for PEO in water?  What are the assumptions involved in the derivation of the Debye scattering function for polymers?  </w:t>
      </w:r>
      <w:r w:rsidR="00B34A92">
        <w:t xml:space="preserve">The plot below is digitized data from </w:t>
      </w:r>
      <w:r w:rsidR="0023603C">
        <w:t xml:space="preserve">0.2 percent PEO in D2O from Figure 2 in </w:t>
      </w:r>
      <w:proofErr w:type="spellStart"/>
      <w:r w:rsidR="0023603C">
        <w:t>Fajalia</w:t>
      </w:r>
      <w:proofErr w:type="spellEnd"/>
      <w:r w:rsidR="0023603C">
        <w:t xml:space="preserve"> (2014).  The dashed line is a Gaussian -2 slope.  Explain the two scaling laws (power-laws) that are observed in the data.  Are these consistent with the Debye polymer function?</w:t>
      </w:r>
    </w:p>
    <w:p w14:paraId="0CAB1E5C" w14:textId="1040A2D2" w:rsidR="00B34A92" w:rsidRDefault="00B34A92" w:rsidP="00B34A92">
      <w:pPr>
        <w:pStyle w:val="ListParagraph"/>
        <w:jc w:val="center"/>
      </w:pPr>
      <w:r w:rsidRPr="00B34A92">
        <w:drawing>
          <wp:inline distT="0" distB="0" distL="0" distR="0" wp14:anchorId="1AB31E58" wp14:editId="47E99FBF">
            <wp:extent cx="3265714" cy="25323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6905" cy="2548756"/>
                    </a:xfrm>
                    <a:prstGeom prst="rect">
                      <a:avLst/>
                    </a:prstGeom>
                  </pic:spPr>
                </pic:pic>
              </a:graphicData>
            </a:graphic>
          </wp:inline>
        </w:drawing>
      </w:r>
    </w:p>
    <w:p w14:paraId="526B502A" w14:textId="2A0C6AB1" w:rsidR="0081695A" w:rsidRPr="007064F4" w:rsidRDefault="0081695A" w:rsidP="00B64EC6">
      <w:pPr>
        <w:pStyle w:val="ListParagraph"/>
        <w:numPr>
          <w:ilvl w:val="0"/>
          <w:numId w:val="24"/>
        </w:numPr>
      </w:pPr>
      <w:r>
        <w:t xml:space="preserve">The third function used by </w:t>
      </w:r>
      <w:proofErr w:type="spellStart"/>
      <w:r>
        <w:t>Fajalia</w:t>
      </w:r>
      <w:proofErr w:type="spellEnd"/>
      <w:r>
        <w:t xml:space="preserve"> is equation (3).  The second term is intended to describe a polyelectrolyte in water and involves the Debye screening length, the Bjerrum length, a contrast factor</w:t>
      </w:r>
      <w:r w:rsidR="000E4EEF">
        <w:t xml:space="preserve">, an excluded volume term </w:t>
      </w:r>
      <w:r w:rsidR="000E4EEF">
        <w:rPr>
          <w:i/>
          <w:iCs/>
        </w:rPr>
        <w:t>h</w:t>
      </w:r>
      <w:r w:rsidR="00DA136A">
        <w:t xml:space="preserve">, and a charge spacing term </w:t>
      </w:r>
      <w:r w:rsidR="00DA136A" w:rsidRPr="00DA136A">
        <w:rPr>
          <w:rFonts w:ascii="Symbol" w:hAnsi="Symbol"/>
          <w:i/>
          <w:iCs/>
        </w:rPr>
        <w:t>a</w:t>
      </w:r>
      <w:r w:rsidR="00DA136A">
        <w:t>.</w:t>
      </w:r>
      <w:r w:rsidR="000E4EEF">
        <w:t xml:space="preserve">  Ignoring the details</w:t>
      </w:r>
      <w:r w:rsidR="00DA136A">
        <w:t>,</w:t>
      </w:r>
      <w:r w:rsidR="000E4EEF">
        <w:t xml:space="preserve"> consider the high-q and low-q limits of this function.  What power-law is expected at high-</w:t>
      </w:r>
      <w:proofErr w:type="gramStart"/>
      <w:r w:rsidR="000E4EEF">
        <w:t>q</w:t>
      </w:r>
      <w:proofErr w:type="gramEnd"/>
      <w:r w:rsidR="000E4EEF">
        <w:t xml:space="preserve"> and would this power-law be appropriate for a polyelectrolyte of almost rigid</w:t>
      </w:r>
      <w:r w:rsidR="00DA136A">
        <w:t>-</w:t>
      </w:r>
      <w:r w:rsidR="000E4EEF">
        <w:t xml:space="preserve">rod structure?  Is it possible to obtain Guinier’s Law from this function at </w:t>
      </w:r>
      <w:proofErr w:type="gramStart"/>
      <w:r w:rsidR="000E4EEF">
        <w:t>low-q</w:t>
      </w:r>
      <w:proofErr w:type="gramEnd"/>
      <w:r w:rsidR="000E4EEF">
        <w:t xml:space="preserve">?  (These two features are essential for any function that hopes to be valid no matter how complicated the function or the number of terms (here 8 terms for just the second </w:t>
      </w:r>
      <w:r w:rsidR="00DA136A">
        <w:t>expression</w:t>
      </w:r>
      <w:r w:rsidR="000E4EEF">
        <w:t xml:space="preserve"> of equation (3)).)</w:t>
      </w:r>
    </w:p>
    <w:sectPr w:rsidR="0081695A" w:rsidRPr="007064F4" w:rsidSect="007A1B5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51267" w14:textId="77777777" w:rsidR="00D93CED" w:rsidRDefault="00D93CED" w:rsidP="00377FC4">
      <w:r>
        <w:separator/>
      </w:r>
    </w:p>
  </w:endnote>
  <w:endnote w:type="continuationSeparator" w:id="0">
    <w:p w14:paraId="3DC47FC5" w14:textId="77777777" w:rsidR="00D93CED" w:rsidRDefault="00D93CED" w:rsidP="0037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6721276"/>
      <w:docPartObj>
        <w:docPartGallery w:val="Page Numbers (Bottom of Page)"/>
        <w:docPartUnique/>
      </w:docPartObj>
    </w:sdtPr>
    <w:sdtEndPr>
      <w:rPr>
        <w:rStyle w:val="PageNumber"/>
      </w:rPr>
    </w:sdtEndPr>
    <w:sdtContent>
      <w:p w14:paraId="751FDDCF" w14:textId="616A5E26" w:rsidR="00650BF8" w:rsidRDefault="00650BF8" w:rsidP="00650B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7C85A4" w14:textId="77777777" w:rsidR="00650BF8" w:rsidRDefault="00650BF8" w:rsidP="00377F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7821851"/>
      <w:docPartObj>
        <w:docPartGallery w:val="Page Numbers (Bottom of Page)"/>
        <w:docPartUnique/>
      </w:docPartObj>
    </w:sdtPr>
    <w:sdtEndPr>
      <w:rPr>
        <w:rStyle w:val="PageNumber"/>
      </w:rPr>
    </w:sdtEndPr>
    <w:sdtContent>
      <w:p w14:paraId="3CDC1ADF" w14:textId="523B8F7F" w:rsidR="00650BF8" w:rsidRDefault="00650BF8" w:rsidP="00650B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D1E8C9" w14:textId="77777777" w:rsidR="00650BF8" w:rsidRDefault="00650BF8" w:rsidP="00377F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43F7C" w14:textId="77777777" w:rsidR="00D93CED" w:rsidRDefault="00D93CED" w:rsidP="00377FC4">
      <w:r>
        <w:separator/>
      </w:r>
    </w:p>
  </w:footnote>
  <w:footnote w:type="continuationSeparator" w:id="0">
    <w:p w14:paraId="51506CB1" w14:textId="77777777" w:rsidR="00D93CED" w:rsidRDefault="00D93CED" w:rsidP="0037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1841"/>
    <w:multiLevelType w:val="hybridMultilevel"/>
    <w:tmpl w:val="F68022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60A4A"/>
    <w:multiLevelType w:val="hybridMultilevel"/>
    <w:tmpl w:val="F68022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45973"/>
    <w:multiLevelType w:val="hybridMultilevel"/>
    <w:tmpl w:val="048E0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86E92"/>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956DA"/>
    <w:multiLevelType w:val="hybridMultilevel"/>
    <w:tmpl w:val="048E0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F829EB"/>
    <w:multiLevelType w:val="hybridMultilevel"/>
    <w:tmpl w:val="1152B242"/>
    <w:lvl w:ilvl="0" w:tplc="49604A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E6EE4"/>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95607"/>
    <w:multiLevelType w:val="hybridMultilevel"/>
    <w:tmpl w:val="7FF68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620EA"/>
    <w:multiLevelType w:val="hybridMultilevel"/>
    <w:tmpl w:val="AD426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C4AE2"/>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A20B2E"/>
    <w:multiLevelType w:val="hybridMultilevel"/>
    <w:tmpl w:val="2AC8BF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C3DCE"/>
    <w:multiLevelType w:val="hybridMultilevel"/>
    <w:tmpl w:val="256049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66FA6"/>
    <w:multiLevelType w:val="hybridMultilevel"/>
    <w:tmpl w:val="39B2E364"/>
    <w:lvl w:ilvl="0" w:tplc="A64E88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3F1C2D"/>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8A41B9"/>
    <w:multiLevelType w:val="hybridMultilevel"/>
    <w:tmpl w:val="843C5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13937"/>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733F41"/>
    <w:multiLevelType w:val="hybridMultilevel"/>
    <w:tmpl w:val="692AE5B2"/>
    <w:lvl w:ilvl="0" w:tplc="ECF88B3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A7E203C"/>
    <w:multiLevelType w:val="hybridMultilevel"/>
    <w:tmpl w:val="DF4C03E8"/>
    <w:lvl w:ilvl="0" w:tplc="E4229B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EB3F90"/>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256941"/>
    <w:multiLevelType w:val="hybridMultilevel"/>
    <w:tmpl w:val="843C5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E06591"/>
    <w:multiLevelType w:val="hybridMultilevel"/>
    <w:tmpl w:val="843C5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DF46DF"/>
    <w:multiLevelType w:val="hybridMultilevel"/>
    <w:tmpl w:val="E3305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E22F72"/>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D1572"/>
    <w:multiLevelType w:val="hybridMultilevel"/>
    <w:tmpl w:val="80A24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14"/>
  </w:num>
  <w:num w:numId="4">
    <w:abstractNumId w:val="6"/>
  </w:num>
  <w:num w:numId="5">
    <w:abstractNumId w:val="7"/>
  </w:num>
  <w:num w:numId="6">
    <w:abstractNumId w:val="18"/>
  </w:num>
  <w:num w:numId="7">
    <w:abstractNumId w:val="13"/>
  </w:num>
  <w:num w:numId="8">
    <w:abstractNumId w:val="3"/>
  </w:num>
  <w:num w:numId="9">
    <w:abstractNumId w:val="9"/>
  </w:num>
  <w:num w:numId="10">
    <w:abstractNumId w:val="15"/>
  </w:num>
  <w:num w:numId="11">
    <w:abstractNumId w:val="22"/>
  </w:num>
  <w:num w:numId="12">
    <w:abstractNumId w:val="23"/>
  </w:num>
  <w:num w:numId="13">
    <w:abstractNumId w:val="21"/>
  </w:num>
  <w:num w:numId="14">
    <w:abstractNumId w:val="16"/>
  </w:num>
  <w:num w:numId="15">
    <w:abstractNumId w:val="8"/>
  </w:num>
  <w:num w:numId="16">
    <w:abstractNumId w:val="17"/>
  </w:num>
  <w:num w:numId="17">
    <w:abstractNumId w:val="11"/>
  </w:num>
  <w:num w:numId="18">
    <w:abstractNumId w:val="12"/>
  </w:num>
  <w:num w:numId="19">
    <w:abstractNumId w:val="1"/>
  </w:num>
  <w:num w:numId="20">
    <w:abstractNumId w:val="0"/>
  </w:num>
  <w:num w:numId="21">
    <w:abstractNumId w:val="2"/>
  </w:num>
  <w:num w:numId="22">
    <w:abstractNumId w:val="4"/>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171"/>
    <w:rsid w:val="00003E54"/>
    <w:rsid w:val="00006BA2"/>
    <w:rsid w:val="00030795"/>
    <w:rsid w:val="0003336C"/>
    <w:rsid w:val="00033E38"/>
    <w:rsid w:val="00034B77"/>
    <w:rsid w:val="00037342"/>
    <w:rsid w:val="0004444C"/>
    <w:rsid w:val="00062BCA"/>
    <w:rsid w:val="00067623"/>
    <w:rsid w:val="00072F7D"/>
    <w:rsid w:val="000809A6"/>
    <w:rsid w:val="00090A6A"/>
    <w:rsid w:val="000917B3"/>
    <w:rsid w:val="000A0C52"/>
    <w:rsid w:val="000A60E3"/>
    <w:rsid w:val="000B5A57"/>
    <w:rsid w:val="000C15ED"/>
    <w:rsid w:val="000D6EDA"/>
    <w:rsid w:val="000E4EEF"/>
    <w:rsid w:val="000E633F"/>
    <w:rsid w:val="000F6DBB"/>
    <w:rsid w:val="00101464"/>
    <w:rsid w:val="00102726"/>
    <w:rsid w:val="00120F82"/>
    <w:rsid w:val="00124AE8"/>
    <w:rsid w:val="00126BA2"/>
    <w:rsid w:val="00127C22"/>
    <w:rsid w:val="001326F0"/>
    <w:rsid w:val="00136251"/>
    <w:rsid w:val="001543C5"/>
    <w:rsid w:val="001545CE"/>
    <w:rsid w:val="00192CB6"/>
    <w:rsid w:val="0019784B"/>
    <w:rsid w:val="001A1AFC"/>
    <w:rsid w:val="001B679B"/>
    <w:rsid w:val="001C355E"/>
    <w:rsid w:val="001C68D2"/>
    <w:rsid w:val="001D4F07"/>
    <w:rsid w:val="001D5F2E"/>
    <w:rsid w:val="001F5982"/>
    <w:rsid w:val="0020113F"/>
    <w:rsid w:val="00226C91"/>
    <w:rsid w:val="0023603C"/>
    <w:rsid w:val="00244CD2"/>
    <w:rsid w:val="00251195"/>
    <w:rsid w:val="002611FB"/>
    <w:rsid w:val="00261642"/>
    <w:rsid w:val="0028489B"/>
    <w:rsid w:val="00285169"/>
    <w:rsid w:val="002A13F3"/>
    <w:rsid w:val="002A4D6C"/>
    <w:rsid w:val="002C543C"/>
    <w:rsid w:val="002C547B"/>
    <w:rsid w:val="002D2974"/>
    <w:rsid w:val="002D2B9A"/>
    <w:rsid w:val="002D79EA"/>
    <w:rsid w:val="002E5186"/>
    <w:rsid w:val="002F1CB6"/>
    <w:rsid w:val="00313949"/>
    <w:rsid w:val="00324FAE"/>
    <w:rsid w:val="00336463"/>
    <w:rsid w:val="00352ADC"/>
    <w:rsid w:val="00353819"/>
    <w:rsid w:val="0035597D"/>
    <w:rsid w:val="00377FC4"/>
    <w:rsid w:val="003844C1"/>
    <w:rsid w:val="00394392"/>
    <w:rsid w:val="003A0171"/>
    <w:rsid w:val="003A4764"/>
    <w:rsid w:val="003C613B"/>
    <w:rsid w:val="003D1050"/>
    <w:rsid w:val="003E2A68"/>
    <w:rsid w:val="003E2DBB"/>
    <w:rsid w:val="003E3B5B"/>
    <w:rsid w:val="003F60A5"/>
    <w:rsid w:val="004146B8"/>
    <w:rsid w:val="00415632"/>
    <w:rsid w:val="00420D01"/>
    <w:rsid w:val="00436E5B"/>
    <w:rsid w:val="00440E91"/>
    <w:rsid w:val="0045697B"/>
    <w:rsid w:val="004643D5"/>
    <w:rsid w:val="00481F7D"/>
    <w:rsid w:val="004956DD"/>
    <w:rsid w:val="00497264"/>
    <w:rsid w:val="004B02EF"/>
    <w:rsid w:val="004B1170"/>
    <w:rsid w:val="004C4DD1"/>
    <w:rsid w:val="004D6130"/>
    <w:rsid w:val="004F0A13"/>
    <w:rsid w:val="004F1C0F"/>
    <w:rsid w:val="005077EB"/>
    <w:rsid w:val="0051711A"/>
    <w:rsid w:val="005226BF"/>
    <w:rsid w:val="0052316B"/>
    <w:rsid w:val="005308DB"/>
    <w:rsid w:val="00530EFA"/>
    <w:rsid w:val="00531B07"/>
    <w:rsid w:val="005331B0"/>
    <w:rsid w:val="00533409"/>
    <w:rsid w:val="00576E27"/>
    <w:rsid w:val="00594BF8"/>
    <w:rsid w:val="005D78A9"/>
    <w:rsid w:val="005E43EB"/>
    <w:rsid w:val="005E6118"/>
    <w:rsid w:val="005E7CB2"/>
    <w:rsid w:val="005F1DF0"/>
    <w:rsid w:val="005F2BF6"/>
    <w:rsid w:val="005F48BE"/>
    <w:rsid w:val="005F6B05"/>
    <w:rsid w:val="005F6F6A"/>
    <w:rsid w:val="0060088E"/>
    <w:rsid w:val="00623088"/>
    <w:rsid w:val="0063398F"/>
    <w:rsid w:val="006435DC"/>
    <w:rsid w:val="00644EA8"/>
    <w:rsid w:val="0064694C"/>
    <w:rsid w:val="00650BF8"/>
    <w:rsid w:val="00667461"/>
    <w:rsid w:val="006736A0"/>
    <w:rsid w:val="006742D1"/>
    <w:rsid w:val="00675118"/>
    <w:rsid w:val="0068668D"/>
    <w:rsid w:val="006A5EC8"/>
    <w:rsid w:val="006B0859"/>
    <w:rsid w:val="006B14E1"/>
    <w:rsid w:val="006B272A"/>
    <w:rsid w:val="006B3BEC"/>
    <w:rsid w:val="006B678F"/>
    <w:rsid w:val="006C3D14"/>
    <w:rsid w:val="006D093F"/>
    <w:rsid w:val="006D2C66"/>
    <w:rsid w:val="006D5A15"/>
    <w:rsid w:val="006E3837"/>
    <w:rsid w:val="006E5FB2"/>
    <w:rsid w:val="007064F4"/>
    <w:rsid w:val="00713DC0"/>
    <w:rsid w:val="00716BD4"/>
    <w:rsid w:val="0072407B"/>
    <w:rsid w:val="007307AC"/>
    <w:rsid w:val="00733724"/>
    <w:rsid w:val="00733DFF"/>
    <w:rsid w:val="007548B3"/>
    <w:rsid w:val="0075756B"/>
    <w:rsid w:val="007744CB"/>
    <w:rsid w:val="00775AA9"/>
    <w:rsid w:val="00785038"/>
    <w:rsid w:val="00787040"/>
    <w:rsid w:val="00790521"/>
    <w:rsid w:val="007A030C"/>
    <w:rsid w:val="007A1B50"/>
    <w:rsid w:val="007B370E"/>
    <w:rsid w:val="007B7F8D"/>
    <w:rsid w:val="007C3F3B"/>
    <w:rsid w:val="007E77C7"/>
    <w:rsid w:val="0081695A"/>
    <w:rsid w:val="00822E8D"/>
    <w:rsid w:val="00832075"/>
    <w:rsid w:val="00844A8E"/>
    <w:rsid w:val="0084535F"/>
    <w:rsid w:val="00853C95"/>
    <w:rsid w:val="008629AE"/>
    <w:rsid w:val="008647CE"/>
    <w:rsid w:val="00880414"/>
    <w:rsid w:val="00880652"/>
    <w:rsid w:val="008947E5"/>
    <w:rsid w:val="008A6C81"/>
    <w:rsid w:val="008A6F14"/>
    <w:rsid w:val="008A75C5"/>
    <w:rsid w:val="008B2F88"/>
    <w:rsid w:val="008B4550"/>
    <w:rsid w:val="008C0423"/>
    <w:rsid w:val="008C25FE"/>
    <w:rsid w:val="008C4E55"/>
    <w:rsid w:val="008D1BA1"/>
    <w:rsid w:val="008D1CA7"/>
    <w:rsid w:val="008D1DED"/>
    <w:rsid w:val="008D322E"/>
    <w:rsid w:val="00916C35"/>
    <w:rsid w:val="00934EB5"/>
    <w:rsid w:val="0093632C"/>
    <w:rsid w:val="009542D9"/>
    <w:rsid w:val="00955D0B"/>
    <w:rsid w:val="009660D9"/>
    <w:rsid w:val="00987C5E"/>
    <w:rsid w:val="00995E7B"/>
    <w:rsid w:val="00996166"/>
    <w:rsid w:val="009A62CB"/>
    <w:rsid w:val="009A6B73"/>
    <w:rsid w:val="009B5A76"/>
    <w:rsid w:val="009E02EB"/>
    <w:rsid w:val="009F0FF8"/>
    <w:rsid w:val="00A046A2"/>
    <w:rsid w:val="00A0787C"/>
    <w:rsid w:val="00A12641"/>
    <w:rsid w:val="00A22105"/>
    <w:rsid w:val="00A27F33"/>
    <w:rsid w:val="00A3346B"/>
    <w:rsid w:val="00A52C0D"/>
    <w:rsid w:val="00A53A76"/>
    <w:rsid w:val="00A53E34"/>
    <w:rsid w:val="00A549F2"/>
    <w:rsid w:val="00A7224F"/>
    <w:rsid w:val="00A84F74"/>
    <w:rsid w:val="00AA1F4F"/>
    <w:rsid w:val="00AA63B2"/>
    <w:rsid w:val="00AA6CD0"/>
    <w:rsid w:val="00AD1F06"/>
    <w:rsid w:val="00AF5835"/>
    <w:rsid w:val="00AF6253"/>
    <w:rsid w:val="00B07C44"/>
    <w:rsid w:val="00B169F8"/>
    <w:rsid w:val="00B233FD"/>
    <w:rsid w:val="00B34A92"/>
    <w:rsid w:val="00B431B2"/>
    <w:rsid w:val="00B46BA2"/>
    <w:rsid w:val="00B47949"/>
    <w:rsid w:val="00B605ED"/>
    <w:rsid w:val="00B64EC6"/>
    <w:rsid w:val="00B67DBF"/>
    <w:rsid w:val="00B71EE9"/>
    <w:rsid w:val="00B727CC"/>
    <w:rsid w:val="00B7578E"/>
    <w:rsid w:val="00B774D5"/>
    <w:rsid w:val="00B86EF5"/>
    <w:rsid w:val="00BA005F"/>
    <w:rsid w:val="00BA2C92"/>
    <w:rsid w:val="00BB63F1"/>
    <w:rsid w:val="00BC1E32"/>
    <w:rsid w:val="00BC37BC"/>
    <w:rsid w:val="00BC4CA3"/>
    <w:rsid w:val="00BC6FA1"/>
    <w:rsid w:val="00BD6964"/>
    <w:rsid w:val="00BD79C2"/>
    <w:rsid w:val="00BE5A8D"/>
    <w:rsid w:val="00BF3846"/>
    <w:rsid w:val="00C00BC2"/>
    <w:rsid w:val="00C07141"/>
    <w:rsid w:val="00C076DC"/>
    <w:rsid w:val="00C144AC"/>
    <w:rsid w:val="00C27250"/>
    <w:rsid w:val="00C33E17"/>
    <w:rsid w:val="00C42560"/>
    <w:rsid w:val="00C427CB"/>
    <w:rsid w:val="00C64B7F"/>
    <w:rsid w:val="00C64CEF"/>
    <w:rsid w:val="00C703B5"/>
    <w:rsid w:val="00C76175"/>
    <w:rsid w:val="00C7737D"/>
    <w:rsid w:val="00C83BF4"/>
    <w:rsid w:val="00CA3395"/>
    <w:rsid w:val="00CA70BB"/>
    <w:rsid w:val="00CC034D"/>
    <w:rsid w:val="00CC2195"/>
    <w:rsid w:val="00CC344C"/>
    <w:rsid w:val="00CC5B2E"/>
    <w:rsid w:val="00CC5F0C"/>
    <w:rsid w:val="00CE3E12"/>
    <w:rsid w:val="00D00DC9"/>
    <w:rsid w:val="00D01058"/>
    <w:rsid w:val="00D063EF"/>
    <w:rsid w:val="00D150D4"/>
    <w:rsid w:val="00D22855"/>
    <w:rsid w:val="00D234C5"/>
    <w:rsid w:val="00D234CF"/>
    <w:rsid w:val="00D248CE"/>
    <w:rsid w:val="00D46AAF"/>
    <w:rsid w:val="00D50ED9"/>
    <w:rsid w:val="00D51760"/>
    <w:rsid w:val="00D5219E"/>
    <w:rsid w:val="00D63568"/>
    <w:rsid w:val="00D63874"/>
    <w:rsid w:val="00D77FB4"/>
    <w:rsid w:val="00D83E05"/>
    <w:rsid w:val="00D93CED"/>
    <w:rsid w:val="00D9425D"/>
    <w:rsid w:val="00DA0AF0"/>
    <w:rsid w:val="00DA136A"/>
    <w:rsid w:val="00DA4520"/>
    <w:rsid w:val="00DA6A5B"/>
    <w:rsid w:val="00DB4496"/>
    <w:rsid w:val="00DB71E1"/>
    <w:rsid w:val="00DC49AB"/>
    <w:rsid w:val="00DC57F8"/>
    <w:rsid w:val="00DF7072"/>
    <w:rsid w:val="00E04039"/>
    <w:rsid w:val="00E21730"/>
    <w:rsid w:val="00E30ECA"/>
    <w:rsid w:val="00E40EF5"/>
    <w:rsid w:val="00E4563D"/>
    <w:rsid w:val="00E507F5"/>
    <w:rsid w:val="00E740A7"/>
    <w:rsid w:val="00E75957"/>
    <w:rsid w:val="00E8149C"/>
    <w:rsid w:val="00E939F2"/>
    <w:rsid w:val="00EB14B5"/>
    <w:rsid w:val="00EB680B"/>
    <w:rsid w:val="00EC6758"/>
    <w:rsid w:val="00ED029E"/>
    <w:rsid w:val="00EF129A"/>
    <w:rsid w:val="00EF5A3F"/>
    <w:rsid w:val="00EF6B9B"/>
    <w:rsid w:val="00F15340"/>
    <w:rsid w:val="00F15501"/>
    <w:rsid w:val="00F23EA8"/>
    <w:rsid w:val="00F2730C"/>
    <w:rsid w:val="00F413DC"/>
    <w:rsid w:val="00F41C88"/>
    <w:rsid w:val="00F4400E"/>
    <w:rsid w:val="00F53CAA"/>
    <w:rsid w:val="00F55730"/>
    <w:rsid w:val="00F5615B"/>
    <w:rsid w:val="00F5638D"/>
    <w:rsid w:val="00F65B0C"/>
    <w:rsid w:val="00F66F9B"/>
    <w:rsid w:val="00F91932"/>
    <w:rsid w:val="00F93F34"/>
    <w:rsid w:val="00FA1DBB"/>
    <w:rsid w:val="00FA7DE7"/>
    <w:rsid w:val="00FB2326"/>
    <w:rsid w:val="00FC4D60"/>
    <w:rsid w:val="00FD7EAA"/>
    <w:rsid w:val="00FE1916"/>
    <w:rsid w:val="00FF25FD"/>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57CE0"/>
  <w15:chartTrackingRefBased/>
  <w15:docId w15:val="{2E2441DB-4BE2-0244-A788-9F4AA3B3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70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79C2"/>
    <w:pPr>
      <w:ind w:left="720"/>
      <w:contextualSpacing/>
    </w:pPr>
  </w:style>
  <w:style w:type="character" w:styleId="PlaceholderText">
    <w:name w:val="Placeholder Text"/>
    <w:basedOn w:val="DefaultParagraphFont"/>
    <w:uiPriority w:val="99"/>
    <w:semiHidden/>
    <w:rsid w:val="00BD79C2"/>
    <w:rPr>
      <w:color w:val="808080"/>
    </w:rPr>
  </w:style>
  <w:style w:type="paragraph" w:styleId="Footer">
    <w:name w:val="footer"/>
    <w:basedOn w:val="Normal"/>
    <w:link w:val="FooterChar"/>
    <w:uiPriority w:val="99"/>
    <w:unhideWhenUsed/>
    <w:rsid w:val="00377FC4"/>
    <w:pPr>
      <w:tabs>
        <w:tab w:val="center" w:pos="4680"/>
        <w:tab w:val="right" w:pos="9360"/>
      </w:tabs>
    </w:pPr>
  </w:style>
  <w:style w:type="character" w:customStyle="1" w:styleId="FooterChar">
    <w:name w:val="Footer Char"/>
    <w:basedOn w:val="DefaultParagraphFont"/>
    <w:link w:val="Footer"/>
    <w:uiPriority w:val="99"/>
    <w:rsid w:val="00377FC4"/>
  </w:style>
  <w:style w:type="character" w:styleId="PageNumber">
    <w:name w:val="page number"/>
    <w:basedOn w:val="DefaultParagraphFont"/>
    <w:uiPriority w:val="99"/>
    <w:semiHidden/>
    <w:unhideWhenUsed/>
    <w:rsid w:val="00377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1246">
      <w:bodyDiv w:val="1"/>
      <w:marLeft w:val="0"/>
      <w:marRight w:val="0"/>
      <w:marTop w:val="0"/>
      <w:marBottom w:val="0"/>
      <w:divBdr>
        <w:top w:val="none" w:sz="0" w:space="0" w:color="auto"/>
        <w:left w:val="none" w:sz="0" w:space="0" w:color="auto"/>
        <w:bottom w:val="none" w:sz="0" w:space="0" w:color="auto"/>
        <w:right w:val="none" w:sz="0" w:space="0" w:color="auto"/>
      </w:divBdr>
      <w:divsChild>
        <w:div w:id="1833721045">
          <w:marLeft w:val="0"/>
          <w:marRight w:val="0"/>
          <w:marTop w:val="0"/>
          <w:marBottom w:val="0"/>
          <w:divBdr>
            <w:top w:val="none" w:sz="0" w:space="0" w:color="auto"/>
            <w:left w:val="none" w:sz="0" w:space="0" w:color="auto"/>
            <w:bottom w:val="none" w:sz="0" w:space="0" w:color="auto"/>
            <w:right w:val="none" w:sz="0" w:space="0" w:color="auto"/>
          </w:divBdr>
          <w:divsChild>
            <w:div w:id="839350350">
              <w:marLeft w:val="0"/>
              <w:marRight w:val="0"/>
              <w:marTop w:val="0"/>
              <w:marBottom w:val="0"/>
              <w:divBdr>
                <w:top w:val="none" w:sz="0" w:space="0" w:color="auto"/>
                <w:left w:val="none" w:sz="0" w:space="0" w:color="auto"/>
                <w:bottom w:val="none" w:sz="0" w:space="0" w:color="auto"/>
                <w:right w:val="none" w:sz="0" w:space="0" w:color="auto"/>
              </w:divBdr>
              <w:divsChild>
                <w:div w:id="7770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10040">
      <w:bodyDiv w:val="1"/>
      <w:marLeft w:val="0"/>
      <w:marRight w:val="0"/>
      <w:marTop w:val="0"/>
      <w:marBottom w:val="0"/>
      <w:divBdr>
        <w:top w:val="none" w:sz="0" w:space="0" w:color="auto"/>
        <w:left w:val="none" w:sz="0" w:space="0" w:color="auto"/>
        <w:bottom w:val="none" w:sz="0" w:space="0" w:color="auto"/>
        <w:right w:val="none" w:sz="0" w:space="0" w:color="auto"/>
      </w:divBdr>
      <w:divsChild>
        <w:div w:id="497498071">
          <w:marLeft w:val="0"/>
          <w:marRight w:val="0"/>
          <w:marTop w:val="0"/>
          <w:marBottom w:val="0"/>
          <w:divBdr>
            <w:top w:val="none" w:sz="0" w:space="0" w:color="auto"/>
            <w:left w:val="none" w:sz="0" w:space="0" w:color="auto"/>
            <w:bottom w:val="none" w:sz="0" w:space="0" w:color="auto"/>
            <w:right w:val="none" w:sz="0" w:space="0" w:color="auto"/>
          </w:divBdr>
          <w:divsChild>
            <w:div w:id="1003629515">
              <w:marLeft w:val="0"/>
              <w:marRight w:val="0"/>
              <w:marTop w:val="0"/>
              <w:marBottom w:val="0"/>
              <w:divBdr>
                <w:top w:val="none" w:sz="0" w:space="0" w:color="auto"/>
                <w:left w:val="none" w:sz="0" w:space="0" w:color="auto"/>
                <w:bottom w:val="none" w:sz="0" w:space="0" w:color="auto"/>
                <w:right w:val="none" w:sz="0" w:space="0" w:color="auto"/>
              </w:divBdr>
              <w:divsChild>
                <w:div w:id="4336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9461">
      <w:bodyDiv w:val="1"/>
      <w:marLeft w:val="0"/>
      <w:marRight w:val="0"/>
      <w:marTop w:val="0"/>
      <w:marBottom w:val="0"/>
      <w:divBdr>
        <w:top w:val="none" w:sz="0" w:space="0" w:color="auto"/>
        <w:left w:val="none" w:sz="0" w:space="0" w:color="auto"/>
        <w:bottom w:val="none" w:sz="0" w:space="0" w:color="auto"/>
        <w:right w:val="none" w:sz="0" w:space="0" w:color="auto"/>
      </w:divBdr>
    </w:div>
    <w:div w:id="1070075389">
      <w:bodyDiv w:val="1"/>
      <w:marLeft w:val="0"/>
      <w:marRight w:val="0"/>
      <w:marTop w:val="0"/>
      <w:marBottom w:val="0"/>
      <w:divBdr>
        <w:top w:val="none" w:sz="0" w:space="0" w:color="auto"/>
        <w:left w:val="none" w:sz="0" w:space="0" w:color="auto"/>
        <w:bottom w:val="none" w:sz="0" w:space="0" w:color="auto"/>
        <w:right w:val="none" w:sz="0" w:space="0" w:color="auto"/>
      </w:divBdr>
      <w:divsChild>
        <w:div w:id="713391625">
          <w:marLeft w:val="0"/>
          <w:marRight w:val="0"/>
          <w:marTop w:val="0"/>
          <w:marBottom w:val="0"/>
          <w:divBdr>
            <w:top w:val="none" w:sz="0" w:space="0" w:color="auto"/>
            <w:left w:val="none" w:sz="0" w:space="0" w:color="auto"/>
            <w:bottom w:val="none" w:sz="0" w:space="0" w:color="auto"/>
            <w:right w:val="none" w:sz="0" w:space="0" w:color="auto"/>
          </w:divBdr>
          <w:divsChild>
            <w:div w:id="425658653">
              <w:marLeft w:val="0"/>
              <w:marRight w:val="0"/>
              <w:marTop w:val="0"/>
              <w:marBottom w:val="0"/>
              <w:divBdr>
                <w:top w:val="none" w:sz="0" w:space="0" w:color="auto"/>
                <w:left w:val="none" w:sz="0" w:space="0" w:color="auto"/>
                <w:bottom w:val="none" w:sz="0" w:space="0" w:color="auto"/>
                <w:right w:val="none" w:sz="0" w:space="0" w:color="auto"/>
              </w:divBdr>
              <w:divsChild>
                <w:div w:id="16830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63371">
      <w:bodyDiv w:val="1"/>
      <w:marLeft w:val="0"/>
      <w:marRight w:val="0"/>
      <w:marTop w:val="0"/>
      <w:marBottom w:val="0"/>
      <w:divBdr>
        <w:top w:val="none" w:sz="0" w:space="0" w:color="auto"/>
        <w:left w:val="none" w:sz="0" w:space="0" w:color="auto"/>
        <w:bottom w:val="none" w:sz="0" w:space="0" w:color="auto"/>
        <w:right w:val="none" w:sz="0" w:space="0" w:color="auto"/>
      </w:divBdr>
      <w:divsChild>
        <w:div w:id="1427729287">
          <w:marLeft w:val="0"/>
          <w:marRight w:val="0"/>
          <w:marTop w:val="0"/>
          <w:marBottom w:val="0"/>
          <w:divBdr>
            <w:top w:val="none" w:sz="0" w:space="0" w:color="auto"/>
            <w:left w:val="none" w:sz="0" w:space="0" w:color="auto"/>
            <w:bottom w:val="none" w:sz="0" w:space="0" w:color="auto"/>
            <w:right w:val="none" w:sz="0" w:space="0" w:color="auto"/>
          </w:divBdr>
        </w:div>
      </w:divsChild>
    </w:div>
    <w:div w:id="1128625352">
      <w:bodyDiv w:val="1"/>
      <w:marLeft w:val="0"/>
      <w:marRight w:val="0"/>
      <w:marTop w:val="0"/>
      <w:marBottom w:val="0"/>
      <w:divBdr>
        <w:top w:val="none" w:sz="0" w:space="0" w:color="auto"/>
        <w:left w:val="none" w:sz="0" w:space="0" w:color="auto"/>
        <w:bottom w:val="none" w:sz="0" w:space="0" w:color="auto"/>
        <w:right w:val="none" w:sz="0" w:space="0" w:color="auto"/>
      </w:divBdr>
      <w:divsChild>
        <w:div w:id="1312519641">
          <w:marLeft w:val="0"/>
          <w:marRight w:val="0"/>
          <w:marTop w:val="0"/>
          <w:marBottom w:val="0"/>
          <w:divBdr>
            <w:top w:val="none" w:sz="0" w:space="0" w:color="auto"/>
            <w:left w:val="none" w:sz="0" w:space="0" w:color="auto"/>
            <w:bottom w:val="none" w:sz="0" w:space="0" w:color="auto"/>
            <w:right w:val="none" w:sz="0" w:space="0" w:color="auto"/>
          </w:divBdr>
          <w:divsChild>
            <w:div w:id="1098448935">
              <w:marLeft w:val="0"/>
              <w:marRight w:val="0"/>
              <w:marTop w:val="0"/>
              <w:marBottom w:val="0"/>
              <w:divBdr>
                <w:top w:val="none" w:sz="0" w:space="0" w:color="auto"/>
                <w:left w:val="none" w:sz="0" w:space="0" w:color="auto"/>
                <w:bottom w:val="none" w:sz="0" w:space="0" w:color="auto"/>
                <w:right w:val="none" w:sz="0" w:space="0" w:color="auto"/>
              </w:divBdr>
              <w:divsChild>
                <w:div w:id="1925606126">
                  <w:marLeft w:val="0"/>
                  <w:marRight w:val="0"/>
                  <w:marTop w:val="0"/>
                  <w:marBottom w:val="0"/>
                  <w:divBdr>
                    <w:top w:val="none" w:sz="0" w:space="0" w:color="auto"/>
                    <w:left w:val="none" w:sz="0" w:space="0" w:color="auto"/>
                    <w:bottom w:val="none" w:sz="0" w:space="0" w:color="auto"/>
                    <w:right w:val="none" w:sz="0" w:space="0" w:color="auto"/>
                  </w:divBdr>
                  <w:divsChild>
                    <w:div w:id="18799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91134">
      <w:bodyDiv w:val="1"/>
      <w:marLeft w:val="0"/>
      <w:marRight w:val="0"/>
      <w:marTop w:val="0"/>
      <w:marBottom w:val="0"/>
      <w:divBdr>
        <w:top w:val="none" w:sz="0" w:space="0" w:color="auto"/>
        <w:left w:val="none" w:sz="0" w:space="0" w:color="auto"/>
        <w:bottom w:val="none" w:sz="0" w:space="0" w:color="auto"/>
        <w:right w:val="none" w:sz="0" w:space="0" w:color="auto"/>
      </w:divBdr>
    </w:div>
    <w:div w:id="184539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1561</Words>
  <Characters>4686</Characters>
  <Application>Microsoft Office Word</Application>
  <DocSecurity>0</DocSecurity>
  <Lines>781</Lines>
  <Paragraphs>892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beaucage</dc:creator>
  <cp:keywords/>
  <dc:description/>
  <cp:lastModifiedBy>Beaucage, Gregory (beaucag)</cp:lastModifiedBy>
  <cp:revision>9</cp:revision>
  <cp:lastPrinted>2021-03-05T14:27:00Z</cp:lastPrinted>
  <dcterms:created xsi:type="dcterms:W3CDTF">2022-03-03T18:13:00Z</dcterms:created>
  <dcterms:modified xsi:type="dcterms:W3CDTF">2022-03-04T01:09:00Z</dcterms:modified>
</cp:coreProperties>
</file>