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7F2308F3" w:rsidR="003A0171" w:rsidRPr="006742D1" w:rsidRDefault="003A0171" w:rsidP="00D063EF">
      <w:pPr>
        <w:jc w:val="center"/>
        <w:rPr>
          <w:b/>
        </w:rPr>
      </w:pPr>
      <w:r w:rsidRPr="006742D1">
        <w:rPr>
          <w:b/>
        </w:rPr>
        <w:t xml:space="preserve">Quiz </w:t>
      </w:r>
      <w:r w:rsidR="00B137FE">
        <w:rPr>
          <w:b/>
        </w:rPr>
        <w:t>1</w:t>
      </w:r>
      <w:r w:rsidR="00C97EC1">
        <w:rPr>
          <w:b/>
        </w:rPr>
        <w:t>2</w:t>
      </w:r>
    </w:p>
    <w:p w14:paraId="53194E9C" w14:textId="193F270E" w:rsidR="003A0171" w:rsidRDefault="00C97EC1" w:rsidP="003A0171">
      <w:pPr>
        <w:jc w:val="center"/>
        <w:rPr>
          <w:b/>
        </w:rPr>
      </w:pPr>
      <w:r>
        <w:rPr>
          <w:b/>
        </w:rPr>
        <w:t>April 2</w:t>
      </w:r>
      <w:r w:rsidR="003A0171" w:rsidRPr="006742D1">
        <w:rPr>
          <w:b/>
        </w:rPr>
        <w:t>, 2021</w:t>
      </w:r>
    </w:p>
    <w:p w14:paraId="28887317" w14:textId="4F9277F2" w:rsidR="00B137FE" w:rsidRDefault="00B137FE" w:rsidP="003A0171">
      <w:pPr>
        <w:jc w:val="center"/>
        <w:rPr>
          <w:b/>
        </w:rPr>
      </w:pPr>
    </w:p>
    <w:p w14:paraId="41104E6A" w14:textId="6CAF5D73" w:rsidR="00B21D03" w:rsidRDefault="004D6443" w:rsidP="00B21D03">
      <w:proofErr w:type="spellStart"/>
      <w:r w:rsidRPr="004D6443">
        <w:t>Orski</w:t>
      </w:r>
      <w:proofErr w:type="spellEnd"/>
      <w:r w:rsidRPr="004D6443">
        <w:t xml:space="preserve"> SV, </w:t>
      </w:r>
      <w:proofErr w:type="spellStart"/>
      <w:r w:rsidRPr="004D6443">
        <w:t>Kassekert</w:t>
      </w:r>
      <w:proofErr w:type="spellEnd"/>
      <w:r w:rsidRPr="004D6443">
        <w:t xml:space="preserve"> LA, Farrell WS, </w:t>
      </w:r>
      <w:proofErr w:type="spellStart"/>
      <w:r w:rsidRPr="004D6443">
        <w:t>Kenlaw</w:t>
      </w:r>
      <w:proofErr w:type="spellEnd"/>
      <w:r w:rsidRPr="004D6443">
        <w:t xml:space="preserve"> GA, </w:t>
      </w:r>
      <w:proofErr w:type="spellStart"/>
      <w:r w:rsidRPr="004D6443">
        <w:t>Hillmyer</w:t>
      </w:r>
      <w:proofErr w:type="spellEnd"/>
      <w:r w:rsidRPr="004D6443">
        <w:t xml:space="preserve"> MA, Beers KL </w:t>
      </w:r>
      <w:r w:rsidRPr="004D6443">
        <w:rPr>
          <w:i/>
        </w:rPr>
        <w:t xml:space="preserve">Design and Characterization of Model Linear Low-Density </w:t>
      </w:r>
      <w:proofErr w:type="spellStart"/>
      <w:r w:rsidRPr="004D6443">
        <w:rPr>
          <w:i/>
        </w:rPr>
        <w:t>Polyethylenes</w:t>
      </w:r>
      <w:proofErr w:type="spellEnd"/>
      <w:r w:rsidRPr="004D6443">
        <w:rPr>
          <w:i/>
        </w:rPr>
        <w:t xml:space="preserve"> (LLDPEs) by Multidetector Size Exclusion Chromatography</w:t>
      </w:r>
      <w:r>
        <w:rPr>
          <w:i/>
        </w:rPr>
        <w:t xml:space="preserve"> </w:t>
      </w:r>
      <w:r>
        <w:t xml:space="preserve">Macromolecules </w:t>
      </w:r>
      <w:r>
        <w:rPr>
          <w:b/>
        </w:rPr>
        <w:t>53</w:t>
      </w:r>
      <w:r>
        <w:t xml:space="preserve"> 2344-2353 (2020) synthesize model linear low-density polyethylene (LLDPE) which has no long</w:t>
      </w:r>
      <w:r w:rsidR="00905E06">
        <w:t>-</w:t>
      </w:r>
      <w:r>
        <w:t xml:space="preserve">chain branching and regularly spaced short branches of </w:t>
      </w:r>
      <w:r w:rsidR="00DD5D31">
        <w:t>controlled</w:t>
      </w:r>
      <w:r>
        <w:t xml:space="preserve"> length by ring</w:t>
      </w:r>
      <w:r w:rsidR="00DD5D31">
        <w:t>-</w:t>
      </w:r>
      <w:r>
        <w:t xml:space="preserve">opening metathesis </w:t>
      </w:r>
      <w:r w:rsidR="00853E10">
        <w:t>polymerization</w:t>
      </w:r>
      <w:r>
        <w:t xml:space="preserve">.  These polymers have exactly one branch for eight main-chain carbons since they are synthesized from cyclic </w:t>
      </w:r>
      <w:proofErr w:type="spellStart"/>
      <w:r>
        <w:t>oct</w:t>
      </w:r>
      <w:r w:rsidR="00DD5D31">
        <w:t>e</w:t>
      </w:r>
      <w:r>
        <w:t>ne</w:t>
      </w:r>
      <w:proofErr w:type="spellEnd"/>
      <w:r>
        <w:t xml:space="preserve"> with </w:t>
      </w:r>
      <w:r w:rsidR="00E57986">
        <w:t>substituents</w:t>
      </w:r>
      <w:r>
        <w:t xml:space="preserve"> such as ethylene-stat-1-octene for a C2 branch.  They make linear PE, C1, C2, C4, C6 and C10 polymers.  The process involves hydrogenation of double bonds after polymerization.  The materials are characterized by size-exclusion chromatography using multiple detectors: index of refraction (concentration); viscosity ([</w:t>
      </w:r>
      <w:r w:rsidRPr="004D6443">
        <w:rPr>
          <w:rFonts w:ascii="Symbol" w:hAnsi="Symbol"/>
          <w:i/>
        </w:rPr>
        <w:t></w:t>
      </w:r>
      <w:r>
        <w:t>]); light scattering (</w:t>
      </w:r>
      <w:r w:rsidRPr="004D6443">
        <w:rPr>
          <w:i/>
        </w:rPr>
        <w:t>R</w:t>
      </w:r>
      <w:r w:rsidRPr="004D6443">
        <w:rPr>
          <w:vertAlign w:val="subscript"/>
        </w:rPr>
        <w:t>g</w:t>
      </w:r>
      <w:r>
        <w:t xml:space="preserve">, </w:t>
      </w:r>
      <w:r w:rsidRPr="004D6443">
        <w:rPr>
          <w:i/>
        </w:rPr>
        <w:t>M</w:t>
      </w:r>
      <w:r w:rsidRPr="004D6443">
        <w:rPr>
          <w:vertAlign w:val="subscript"/>
        </w:rPr>
        <w:t>w</w:t>
      </w:r>
      <w:r>
        <w:t>); IR (number of CH</w:t>
      </w:r>
      <w:r w:rsidRPr="004D6443">
        <w:rPr>
          <w:vertAlign w:val="subscript"/>
        </w:rPr>
        <w:t>3</w:t>
      </w:r>
      <w:r>
        <w:t xml:space="preserve"> end groups reflecting branch ends).</w:t>
      </w:r>
    </w:p>
    <w:p w14:paraId="504CB49B" w14:textId="29B984E3" w:rsidR="004D6443" w:rsidRDefault="004D6443" w:rsidP="00B21D03"/>
    <w:p w14:paraId="6EAD7735" w14:textId="561812D3" w:rsidR="00E57986" w:rsidRDefault="00E57986" w:rsidP="00E57986">
      <w:pPr>
        <w:pStyle w:val="ListParagraph"/>
        <w:numPr>
          <w:ilvl w:val="0"/>
          <w:numId w:val="29"/>
        </w:numPr>
      </w:pPr>
      <w:r>
        <w:t xml:space="preserve">The introduction discusses various techniques that are used to characterize topology and chemical composition in high pressure chromatography.  A </w:t>
      </w:r>
      <w:r w:rsidR="00DD5D31">
        <w:t xml:space="preserve">referenced </w:t>
      </w:r>
      <w:r>
        <w:t>paper</w:t>
      </w:r>
      <w:r w:rsidR="00DD5D31">
        <w:t xml:space="preserve"> [12]</w:t>
      </w:r>
      <w:r>
        <w:t xml:space="preserve"> by Chatterjee et al. (Chatterjee T, Rickard MA, Pearce E, </w:t>
      </w:r>
      <w:proofErr w:type="spellStart"/>
      <w:r>
        <w:t>Pangburn</w:t>
      </w:r>
      <w:proofErr w:type="spellEnd"/>
      <w:r>
        <w:t xml:space="preserve"> TO, Li Y, Lyons JW, Cong R, DeGroot AW, Meunier DM, </w:t>
      </w:r>
      <w:proofErr w:type="gramStart"/>
      <w:r w:rsidRPr="00E57986">
        <w:rPr>
          <w:i/>
        </w:rPr>
        <w:t>Separating</w:t>
      </w:r>
      <w:proofErr w:type="gramEnd"/>
      <w:r w:rsidRPr="00E57986">
        <w:rPr>
          <w:i/>
        </w:rPr>
        <w:t xml:space="preserve"> effective high density polyethylene segments from olefin block copolymers using high temperature liquid chromatography with a preloaded discrete adsorption promoting solvent barrier</w:t>
      </w:r>
      <w:r>
        <w:t xml:space="preserve"> J. </w:t>
      </w:r>
      <w:proofErr w:type="spellStart"/>
      <w:r>
        <w:t>Chrom</w:t>
      </w:r>
      <w:proofErr w:type="spellEnd"/>
      <w:r>
        <w:t xml:space="preserve">. A </w:t>
      </w:r>
      <w:r w:rsidRPr="00E57986">
        <w:rPr>
          <w:b/>
        </w:rPr>
        <w:t>1465</w:t>
      </w:r>
      <w:r>
        <w:t xml:space="preserve"> 107-116 (2016).) describes a new technique to separate olefin block copolymers (such as octane branched and linear PE) in a mixture of linear HDPE and BCPs using a plug of fluid in the chromatograph stream that was impenetrable to HDPE but allowed the BCP to pass.  </w:t>
      </w:r>
      <w:r w:rsidR="00DD5D31">
        <w:t>Chatterjee’s</w:t>
      </w:r>
      <w:r>
        <w:t xml:space="preserve"> introduction gives a good description of the difference between SEC and HPLC.  Read th</w:t>
      </w:r>
      <w:r w:rsidR="00DD5D31">
        <w:t>at</w:t>
      </w:r>
      <w:r>
        <w:t xml:space="preserve"> introduction and the introduction </w:t>
      </w:r>
      <w:r w:rsidR="00DD5D31">
        <w:t>of</w:t>
      </w:r>
      <w:r>
        <w:t xml:space="preserve"> </w:t>
      </w:r>
      <w:proofErr w:type="spellStart"/>
      <w:r>
        <w:t>Orski</w:t>
      </w:r>
      <w:proofErr w:type="spellEnd"/>
      <w:r>
        <w:t xml:space="preserve"> et al. and describe the difference between SEC and HPLC in terms of entropic and enthalpic selection. </w:t>
      </w:r>
    </w:p>
    <w:p w14:paraId="26E0B5E1" w14:textId="3CE58DD7" w:rsidR="00E57986" w:rsidRDefault="00E57986" w:rsidP="00E57986">
      <w:pPr>
        <w:pStyle w:val="ListParagraph"/>
        <w:numPr>
          <w:ilvl w:val="0"/>
          <w:numId w:val="29"/>
        </w:numPr>
      </w:pPr>
      <w:r>
        <w:t>Figure 3</w:t>
      </w:r>
      <w:r w:rsidR="004921AC">
        <w:t xml:space="preserve"> of </w:t>
      </w:r>
      <w:proofErr w:type="spellStart"/>
      <w:r w:rsidR="004921AC">
        <w:t>Orski</w:t>
      </w:r>
      <w:proofErr w:type="spellEnd"/>
      <w:r w:rsidR="004921AC">
        <w:t xml:space="preserve"> et al.</w:t>
      </w:r>
      <w:r>
        <w:t xml:space="preserve"> shows a plot of [</w:t>
      </w:r>
      <w:r w:rsidRPr="00E57986">
        <w:rPr>
          <w:rFonts w:ascii="Symbol" w:hAnsi="Symbol"/>
          <w:i/>
        </w:rPr>
        <w:t></w:t>
      </w:r>
      <w:r>
        <w:t>] versus molecular weight.  For each sample a large number of molecular weights can be studied since, due to size-exclusion, the SEC separates chains by size</w:t>
      </w:r>
      <w:r w:rsidR="00072ABC">
        <w:t xml:space="preserve"> in the time of elution</w:t>
      </w:r>
      <w:r>
        <w:t>.  Each measurement</w:t>
      </w:r>
      <w:r w:rsidR="00072ABC">
        <w:t xml:space="preserve"> at a given elution time</w:t>
      </w:r>
      <w:r>
        <w:t xml:space="preserve"> is for a monodisperse fraction, so </w:t>
      </w:r>
      <w:proofErr w:type="spellStart"/>
      <w:r w:rsidRPr="00E57986">
        <w:rPr>
          <w:i/>
        </w:rPr>
        <w:t>M</w:t>
      </w:r>
      <w:r w:rsidRPr="00E57986">
        <w:rPr>
          <w:vertAlign w:val="subscript"/>
        </w:rPr>
        <w:t>v</w:t>
      </w:r>
      <w:proofErr w:type="spellEnd"/>
      <w:r>
        <w:t xml:space="preserve"> = </w:t>
      </w:r>
      <w:r w:rsidRPr="00E57986">
        <w:rPr>
          <w:i/>
        </w:rPr>
        <w:t>M</w:t>
      </w:r>
      <w:r w:rsidRPr="00E57986">
        <w:rPr>
          <w:vertAlign w:val="subscript"/>
        </w:rPr>
        <w:t>w</w:t>
      </w:r>
      <w:r>
        <w:t xml:space="preserve"> = </w:t>
      </w:r>
      <w:r w:rsidRPr="00E57986">
        <w:rPr>
          <w:i/>
        </w:rPr>
        <w:t>M</w:t>
      </w:r>
      <w:r w:rsidRPr="00E57986">
        <w:rPr>
          <w:vertAlign w:val="subscript"/>
        </w:rPr>
        <w:t>n</w:t>
      </w:r>
      <w:r>
        <w:t>.  Figure 3’s main point is that the intrinsic viscosity drops with the length of the branches.  Explain why this might be the case.</w:t>
      </w:r>
      <w:r w:rsidR="00072ABC">
        <w:t xml:space="preserve"> </w:t>
      </w:r>
      <w:r w:rsidR="00DD5D31">
        <w:t xml:space="preserve">Write a function that could describe this dependence.  </w:t>
      </w:r>
      <w:r w:rsidR="00072ABC">
        <w:t xml:space="preserve">Comment on the slope “a” in these curves which are listed in Table I.  </w:t>
      </w:r>
    </w:p>
    <w:p w14:paraId="3ADAB46D" w14:textId="51C4FF00" w:rsidR="00072ABC" w:rsidRDefault="005B7CFA" w:rsidP="00E57986">
      <w:pPr>
        <w:pStyle w:val="ListParagraph"/>
        <w:numPr>
          <w:ilvl w:val="0"/>
          <w:numId w:val="29"/>
        </w:numPr>
      </w:pPr>
      <w:r>
        <w:t xml:space="preserve">The slopes in Figure 3 indicate that short chain branching does not impact long-range interaction, </w:t>
      </w:r>
      <w:proofErr w:type="spellStart"/>
      <w:r>
        <w:t>i.e</w:t>
      </w:r>
      <w:proofErr w:type="spellEnd"/>
      <w:r>
        <w:t xml:space="preserve"> chain scaling.  We know that short chain branching does affect short-range interactions, i.e. Kuhn length, from experiments and from many computer simulations, some of which we have looked at in previous quizzes.  Does the Kuhn length impact: the coil density; </w:t>
      </w:r>
      <w:r>
        <w:t>[</w:t>
      </w:r>
      <w:r w:rsidRPr="00E57986">
        <w:rPr>
          <w:rFonts w:ascii="Symbol" w:hAnsi="Symbol"/>
          <w:i/>
        </w:rPr>
        <w:t></w:t>
      </w:r>
      <w:r>
        <w:t>]</w:t>
      </w:r>
      <w:r>
        <w:t xml:space="preserve">; </w:t>
      </w:r>
      <w:r w:rsidRPr="005B7CFA">
        <w:rPr>
          <w:i/>
        </w:rPr>
        <w:t>R</w:t>
      </w:r>
      <w:r w:rsidRPr="005B7CFA">
        <w:rPr>
          <w:vertAlign w:val="subscript"/>
        </w:rPr>
        <w:t>h</w:t>
      </w:r>
      <w:r>
        <w:t xml:space="preserve">; </w:t>
      </w:r>
      <w:r w:rsidRPr="005B7CFA">
        <w:rPr>
          <w:i/>
        </w:rPr>
        <w:t>R</w:t>
      </w:r>
      <w:r w:rsidRPr="005B7CFA">
        <w:rPr>
          <w:vertAlign w:val="subscript"/>
        </w:rPr>
        <w:t>g</w:t>
      </w:r>
      <w:r>
        <w:t xml:space="preserve">; </w:t>
      </w:r>
      <w:r w:rsidRPr="005B7CFA">
        <w:rPr>
          <w:i/>
        </w:rPr>
        <w:t>M</w:t>
      </w:r>
      <w:r w:rsidRPr="005B7CFA">
        <w:rPr>
          <w:vertAlign w:val="subscript"/>
        </w:rPr>
        <w:t>w</w:t>
      </w:r>
      <w:r>
        <w:t xml:space="preserve">; </w:t>
      </w:r>
      <w:r w:rsidRPr="005B7CFA">
        <w:rPr>
          <w:i/>
        </w:rPr>
        <w:t>c</w:t>
      </w:r>
      <w:r w:rsidRPr="005B7CFA">
        <w:rPr>
          <w:vertAlign w:val="superscript"/>
        </w:rPr>
        <w:t>*</w:t>
      </w:r>
      <w:r>
        <w:t>?</w:t>
      </w:r>
    </w:p>
    <w:p w14:paraId="0D777B1E" w14:textId="05053BD7" w:rsidR="005B7CFA" w:rsidRDefault="005B7CFA" w:rsidP="000A2E7F">
      <w:pPr>
        <w:pStyle w:val="ListParagraph"/>
        <w:numPr>
          <w:ilvl w:val="0"/>
          <w:numId w:val="29"/>
        </w:numPr>
      </w:pPr>
      <w:r>
        <w:t>Figure 4 shows the “</w:t>
      </w:r>
      <w:proofErr w:type="spellStart"/>
      <w:r>
        <w:t>viscometric</w:t>
      </w:r>
      <w:proofErr w:type="spellEnd"/>
      <w:r>
        <w:t xml:space="preserve"> contraction factor” </w:t>
      </w:r>
      <w:r w:rsidRPr="000A2E7F">
        <w:rPr>
          <w:i/>
        </w:rPr>
        <w:t>g</w:t>
      </w:r>
      <w:r>
        <w:t xml:space="preserve">’.  </w:t>
      </w:r>
      <w:r w:rsidR="000A2E7F">
        <w:t>(</w:t>
      </w:r>
      <w:r>
        <w:t>This term is better described in a paper by De Luca E, Richards RW</w:t>
      </w:r>
      <w:r w:rsidR="000A2E7F">
        <w:t xml:space="preserve">, </w:t>
      </w:r>
      <w:r w:rsidR="000A2E7F" w:rsidRPr="000A2E7F">
        <w:rPr>
          <w:i/>
        </w:rPr>
        <w:t>Molecular Characterization of a Hyperbranched Polyester. I. Dilute Solution Properties</w:t>
      </w:r>
      <w:r w:rsidR="000A2E7F">
        <w:t xml:space="preserve"> J. Polym. Sci. B </w:t>
      </w:r>
      <w:r w:rsidR="000A2E7F" w:rsidRPr="000A2E7F">
        <w:rPr>
          <w:b/>
        </w:rPr>
        <w:t>41</w:t>
      </w:r>
      <w:r w:rsidR="000A2E7F">
        <w:t xml:space="preserve"> 1339-1351 (2003).)  Explain what </w:t>
      </w:r>
      <w:r w:rsidR="000A2E7F" w:rsidRPr="000A2E7F">
        <w:rPr>
          <w:i/>
        </w:rPr>
        <w:t>g</w:t>
      </w:r>
      <w:r w:rsidR="000A2E7F">
        <w:t>’ reflects.  For instance, what does a value of 0.6</w:t>
      </w:r>
      <w:r w:rsidR="00DD5D31">
        <w:t>, seen in Figure 4,</w:t>
      </w:r>
      <w:r w:rsidR="000A2E7F">
        <w:t xml:space="preserve"> indicate?</w:t>
      </w:r>
    </w:p>
    <w:p w14:paraId="51544CAD" w14:textId="3A598939" w:rsidR="000A2E7F" w:rsidRDefault="000A2E7F" w:rsidP="000A2E7F">
      <w:pPr>
        <w:pStyle w:val="ListParagraph"/>
        <w:numPr>
          <w:ilvl w:val="0"/>
          <w:numId w:val="29"/>
        </w:numPr>
      </w:pPr>
      <w:r>
        <w:t xml:space="preserve">In Figure 5 of </w:t>
      </w:r>
      <w:proofErr w:type="spellStart"/>
      <w:r>
        <w:t>Orski</w:t>
      </w:r>
      <w:proofErr w:type="spellEnd"/>
      <w:r>
        <w:t xml:space="preserve"> et al.</w:t>
      </w:r>
      <w:r w:rsidR="00DD5D31">
        <w:t>,</w:t>
      </w:r>
      <w:r>
        <w:t xml:space="preserve"> and in</w:t>
      </w:r>
      <w:r w:rsidR="00DD5D31">
        <w:t xml:space="preserve"> </w:t>
      </w:r>
      <w:r w:rsidR="00DD5D31">
        <w:t>Figure S19</w:t>
      </w:r>
      <w:r w:rsidR="00DD5D31">
        <w:t xml:space="preserve"> of</w:t>
      </w:r>
      <w:r>
        <w:t xml:space="preserve"> the </w:t>
      </w:r>
      <w:r w:rsidR="00DD5D31">
        <w:t>supporting information file,</w:t>
      </w:r>
      <w:r>
        <w:t xml:space="preserve"> the high molecular weight fractions at high branch lengths of 4, 6 and 10 show a negative </w:t>
      </w:r>
      <w:r>
        <w:lastRenderedPageBreak/>
        <w:t>deviation</w:t>
      </w:r>
      <w:r w:rsidR="00DD5D31">
        <w:t xml:space="preserve"> from the power-law</w:t>
      </w:r>
      <w:r>
        <w:t xml:space="preserve">.  What causes this deviation?  Does it make sense that this deviation would only </w:t>
      </w:r>
      <w:r w:rsidR="00B93B86">
        <w:t>appear</w:t>
      </w:r>
      <w:r>
        <w:t xml:space="preserve"> at high molecular weights and for long branches?</w:t>
      </w:r>
    </w:p>
    <w:p w14:paraId="15DC4935" w14:textId="14BE5F9E" w:rsidR="00AD65F6" w:rsidRDefault="00AD65F6" w:rsidP="00AD65F6"/>
    <w:p w14:paraId="6666E6DF" w14:textId="14B3D4E0" w:rsidR="00AD65F6" w:rsidRDefault="00AD65F6" w:rsidP="00AD65F6"/>
    <w:p w14:paraId="51FA6360" w14:textId="77777777" w:rsidR="00AD65F6" w:rsidRDefault="00AD65F6" w:rsidP="00AD65F6"/>
    <w:p w14:paraId="4D2BC57E" w14:textId="612B2C3B" w:rsidR="004D6443" w:rsidRDefault="006669D5" w:rsidP="006669D5">
      <w:pPr>
        <w:ind w:left="-576" w:right="-576"/>
        <w:rPr>
          <w:b/>
        </w:rPr>
      </w:pPr>
      <w:r w:rsidRPr="006669D5">
        <w:drawing>
          <wp:inline distT="0" distB="0" distL="0" distR="0" wp14:anchorId="0ADFA35E" wp14:editId="487A8A5D">
            <wp:extent cx="3151191" cy="24805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1191" cy="2480553"/>
                    </a:xfrm>
                    <a:prstGeom prst="rect">
                      <a:avLst/>
                    </a:prstGeom>
                  </pic:spPr>
                </pic:pic>
              </a:graphicData>
            </a:graphic>
          </wp:inline>
        </w:drawing>
      </w:r>
      <w:r>
        <w:rPr>
          <w:b/>
        </w:rPr>
        <w:t xml:space="preserve">  </w:t>
      </w:r>
      <w:r w:rsidRPr="006669D5">
        <w:drawing>
          <wp:inline distT="0" distB="0" distL="0" distR="0" wp14:anchorId="3F4057B1" wp14:editId="6FB29FAF">
            <wp:extent cx="3411237" cy="2616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3180" cy="2618231"/>
                    </a:xfrm>
                    <a:prstGeom prst="rect">
                      <a:avLst/>
                    </a:prstGeom>
                  </pic:spPr>
                </pic:pic>
              </a:graphicData>
            </a:graphic>
          </wp:inline>
        </w:drawing>
      </w:r>
      <w:r w:rsidRPr="006669D5">
        <w:drawing>
          <wp:inline distT="0" distB="0" distL="0" distR="0" wp14:anchorId="7C1EB81F" wp14:editId="334CEB5A">
            <wp:extent cx="2744581" cy="20038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6610" cy="2005380"/>
                    </a:xfrm>
                    <a:prstGeom prst="rect">
                      <a:avLst/>
                    </a:prstGeom>
                  </pic:spPr>
                </pic:pic>
              </a:graphicData>
            </a:graphic>
          </wp:inline>
        </w:drawing>
      </w:r>
      <w:r>
        <w:rPr>
          <w:b/>
        </w:rPr>
        <w:t xml:space="preserve">  </w:t>
      </w:r>
      <w:r w:rsidRPr="006669D5">
        <w:rPr>
          <w:b/>
        </w:rPr>
        <w:drawing>
          <wp:inline distT="0" distB="0" distL="0" distR="0" wp14:anchorId="74200318" wp14:editId="15249C44">
            <wp:extent cx="3782863" cy="1964987"/>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4184" cy="1965673"/>
                    </a:xfrm>
                    <a:prstGeom prst="rect">
                      <a:avLst/>
                    </a:prstGeom>
                  </pic:spPr>
                </pic:pic>
              </a:graphicData>
            </a:graphic>
          </wp:inline>
        </w:drawing>
      </w:r>
    </w:p>
    <w:p w14:paraId="504CAF38" w14:textId="28EAE4BE" w:rsidR="00792926" w:rsidRDefault="00792926" w:rsidP="006669D5">
      <w:pPr>
        <w:ind w:left="-576" w:right="-576"/>
        <w:rPr>
          <w:b/>
        </w:rPr>
      </w:pPr>
    </w:p>
    <w:p w14:paraId="565607FE" w14:textId="513C2431" w:rsidR="00792926" w:rsidRPr="006669D5" w:rsidRDefault="00792926" w:rsidP="006669D5">
      <w:pPr>
        <w:ind w:left="-576" w:right="-576"/>
        <w:rPr>
          <w:b/>
        </w:rPr>
      </w:pPr>
      <w:r w:rsidRPr="006669D5">
        <w:drawing>
          <wp:inline distT="0" distB="0" distL="0" distR="0" wp14:anchorId="0B454438" wp14:editId="4352FC0E">
            <wp:extent cx="6712085" cy="174901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13054" cy="1749267"/>
                    </a:xfrm>
                    <a:prstGeom prst="rect">
                      <a:avLst/>
                    </a:prstGeom>
                  </pic:spPr>
                </pic:pic>
              </a:graphicData>
            </a:graphic>
          </wp:inline>
        </w:drawing>
      </w:r>
    </w:p>
    <w:p w14:paraId="112D0FE0" w14:textId="124A8E27" w:rsidR="006669D5" w:rsidRPr="006669D5" w:rsidRDefault="006669D5" w:rsidP="00E57986">
      <w:pPr>
        <w:ind w:left="360"/>
      </w:pPr>
    </w:p>
    <w:p w14:paraId="112B72D2" w14:textId="091FA4A1" w:rsidR="0007722C" w:rsidRDefault="0007722C" w:rsidP="0007722C">
      <w:pPr>
        <w:pageBreakBefore/>
        <w:jc w:val="center"/>
        <w:rPr>
          <w:b/>
        </w:rPr>
      </w:pPr>
      <w:r>
        <w:rPr>
          <w:b/>
        </w:rPr>
        <w:lastRenderedPageBreak/>
        <w:t xml:space="preserve">ANSWERS:  </w:t>
      </w:r>
      <w:r w:rsidRPr="003A0171">
        <w:rPr>
          <w:b/>
        </w:rPr>
        <w:t>Polymer Physics</w:t>
      </w:r>
    </w:p>
    <w:p w14:paraId="4AE0A799" w14:textId="755BB1BA" w:rsidR="0007722C" w:rsidRPr="006742D1" w:rsidRDefault="0007722C" w:rsidP="0007722C">
      <w:pPr>
        <w:jc w:val="center"/>
        <w:rPr>
          <w:b/>
        </w:rPr>
      </w:pPr>
      <w:r w:rsidRPr="006742D1">
        <w:rPr>
          <w:b/>
        </w:rPr>
        <w:t xml:space="preserve">Quiz </w:t>
      </w:r>
      <w:r>
        <w:rPr>
          <w:b/>
        </w:rPr>
        <w:t>1</w:t>
      </w:r>
      <w:r w:rsidR="00B21D03">
        <w:rPr>
          <w:b/>
        </w:rPr>
        <w:t>2</w:t>
      </w:r>
    </w:p>
    <w:p w14:paraId="278A7319" w14:textId="585853C4" w:rsidR="0007722C" w:rsidRDefault="00B21D03" w:rsidP="0007722C">
      <w:pPr>
        <w:jc w:val="center"/>
        <w:rPr>
          <w:b/>
        </w:rPr>
      </w:pPr>
      <w:r>
        <w:rPr>
          <w:b/>
        </w:rPr>
        <w:t>April 2</w:t>
      </w:r>
      <w:r w:rsidR="0007722C" w:rsidRPr="006742D1">
        <w:rPr>
          <w:b/>
        </w:rPr>
        <w:t xml:space="preserve"> 2021</w:t>
      </w:r>
    </w:p>
    <w:p w14:paraId="056E49BF" w14:textId="77777777" w:rsidR="0007722C" w:rsidRPr="0020113F" w:rsidRDefault="0007722C" w:rsidP="0007722C">
      <w:pPr>
        <w:jc w:val="center"/>
        <w:rPr>
          <w:b/>
        </w:rPr>
      </w:pPr>
    </w:p>
    <w:p w14:paraId="664BE8B4" w14:textId="442181E1" w:rsidR="00594F91" w:rsidRDefault="00594F91" w:rsidP="00594F91">
      <w:pPr>
        <w:pStyle w:val="ListParagraph"/>
        <w:numPr>
          <w:ilvl w:val="0"/>
          <w:numId w:val="30"/>
        </w:numPr>
        <w:rPr>
          <w:i/>
        </w:rPr>
      </w:pPr>
      <w:r w:rsidRPr="00594F91">
        <w:rPr>
          <w:i/>
        </w:rPr>
        <w:t xml:space="preserve">The introduction discusses various techniques that are used to characterize topology and chemical composition in high pressure chromatography.  A referenced paper [12] by Chatterjee et al. (Chatterjee T, Rickard MA, Pearce E, </w:t>
      </w:r>
      <w:proofErr w:type="spellStart"/>
      <w:r w:rsidRPr="00594F91">
        <w:rPr>
          <w:i/>
        </w:rPr>
        <w:t>Pangburn</w:t>
      </w:r>
      <w:proofErr w:type="spellEnd"/>
      <w:r w:rsidRPr="00594F91">
        <w:rPr>
          <w:i/>
        </w:rPr>
        <w:t xml:space="preserve"> TO, Li Y, Lyons JW, Cong R, DeGroot AW, Meunier DM, </w:t>
      </w:r>
      <w:proofErr w:type="gramStart"/>
      <w:r w:rsidRPr="00594F91">
        <w:rPr>
          <w:i/>
        </w:rPr>
        <w:t>Separating</w:t>
      </w:r>
      <w:proofErr w:type="gramEnd"/>
      <w:r w:rsidRPr="00594F91">
        <w:rPr>
          <w:i/>
        </w:rPr>
        <w:t xml:space="preserve"> effective high density polyethylene segments from olefin block copolymers using high temperature liquid chromatography with a preloaded discrete adsorption promoting solvent barrier J. </w:t>
      </w:r>
      <w:proofErr w:type="spellStart"/>
      <w:r w:rsidRPr="00594F91">
        <w:rPr>
          <w:i/>
        </w:rPr>
        <w:t>Chrom</w:t>
      </w:r>
      <w:proofErr w:type="spellEnd"/>
      <w:r w:rsidRPr="00594F91">
        <w:rPr>
          <w:i/>
        </w:rPr>
        <w:t xml:space="preserve">. A </w:t>
      </w:r>
      <w:r w:rsidRPr="00594F91">
        <w:rPr>
          <w:b/>
          <w:i/>
        </w:rPr>
        <w:t>1465</w:t>
      </w:r>
      <w:r w:rsidRPr="00594F91">
        <w:rPr>
          <w:i/>
        </w:rPr>
        <w:t xml:space="preserve"> 107-116 (2016).) describes a new technique to separate olefin block copolymers (such as octane branched and linear PE) in a mixture of linear HDPE and BCPs using a plug of fluid in the chromatograph stream that was impenetrable to HDPE but allowed the BCP to pass.  Chatterjee’s introduction gives a good description of the difference between SEC and HPLC.  </w:t>
      </w:r>
      <w:r w:rsidRPr="00810530">
        <w:rPr>
          <w:b/>
          <w:i/>
        </w:rPr>
        <w:t xml:space="preserve">Read that introduction and the introduction of </w:t>
      </w:r>
      <w:proofErr w:type="spellStart"/>
      <w:r w:rsidRPr="00810530">
        <w:rPr>
          <w:b/>
          <w:i/>
        </w:rPr>
        <w:t>Orski</w:t>
      </w:r>
      <w:proofErr w:type="spellEnd"/>
      <w:r w:rsidRPr="00810530">
        <w:rPr>
          <w:b/>
          <w:i/>
        </w:rPr>
        <w:t xml:space="preserve"> et al. and describe the difference between SEC and HPLC in terms of entropic and enthalpic selection.</w:t>
      </w:r>
      <w:r w:rsidRPr="00594F91">
        <w:rPr>
          <w:i/>
        </w:rPr>
        <w:t xml:space="preserve"> </w:t>
      </w:r>
    </w:p>
    <w:p w14:paraId="5480801C" w14:textId="15C78C66" w:rsidR="00594F91" w:rsidRPr="00594F91" w:rsidRDefault="00594F91" w:rsidP="00594F91"/>
    <w:p w14:paraId="2361F1B5" w14:textId="7C3E2F7B" w:rsidR="00594F91" w:rsidRPr="00594F91" w:rsidRDefault="00810530" w:rsidP="00594F91">
      <w:r>
        <w:t xml:space="preserve">SEC means size-exclusion chromatography.  It involves a porous material on the size scale of the molecules which are being separated.  Small molecules fit in the pores and follow a diffusive path through the column structure emerging from the column at long retention times, large molecules do not fit and follow a ballistic path through the column emerging in short retention times.  There is no interaction between the molecules and the column except for the random diffusive motion.  This random motion is a signature of thermally driven diffusive motion associated with entropy.  Liquid chromatography involves some type of enthalpic interaction between the column material and the molecules which slows their passage through the column.  This kind of enthalpic interaction is selective by chemical species and not by size.  Many other types of interaction are mentioned in the introductions such as crystallization of a polymer in the column followed by raising the temperature to release low melting then higher melting point polymers (temperature rising elution fractionation TREF) and the use of a plug of non-solvent for HDPE to slow the elution of HDPE compared to block copolymers enabling their separation even if they have similar molecular weights.  </w:t>
      </w:r>
    </w:p>
    <w:p w14:paraId="4C66F2EB" w14:textId="77777777" w:rsidR="00594F91" w:rsidRPr="00594F91" w:rsidRDefault="00594F91" w:rsidP="00594F91"/>
    <w:p w14:paraId="092B20EE" w14:textId="1D1E45D3" w:rsidR="00594F91" w:rsidRDefault="00594F91" w:rsidP="00594F91">
      <w:pPr>
        <w:pStyle w:val="ListParagraph"/>
        <w:numPr>
          <w:ilvl w:val="0"/>
          <w:numId w:val="30"/>
        </w:numPr>
        <w:rPr>
          <w:i/>
        </w:rPr>
      </w:pPr>
      <w:r w:rsidRPr="00594F91">
        <w:rPr>
          <w:i/>
        </w:rPr>
        <w:t xml:space="preserve">Figure 3 of </w:t>
      </w:r>
      <w:proofErr w:type="spellStart"/>
      <w:r w:rsidRPr="00594F91">
        <w:rPr>
          <w:i/>
        </w:rPr>
        <w:t>Orski</w:t>
      </w:r>
      <w:proofErr w:type="spellEnd"/>
      <w:r w:rsidRPr="00594F91">
        <w:rPr>
          <w:i/>
        </w:rPr>
        <w:t xml:space="preserve"> et al. shows a plot of [</w:t>
      </w:r>
      <w:r w:rsidRPr="00594F91">
        <w:rPr>
          <w:rFonts w:ascii="Symbol" w:hAnsi="Symbol"/>
          <w:i/>
        </w:rPr>
        <w:t></w:t>
      </w:r>
      <w:r w:rsidRPr="00594F91">
        <w:rPr>
          <w:i/>
        </w:rPr>
        <w:t xml:space="preserve">] versus molecular weight.  For each sample a large number of molecular weights can be studied since, due to size-exclusion, the SEC separates chains by size in the time of elution.  Each measurement at a given elution time is for a monodisperse fraction, so </w:t>
      </w:r>
      <w:proofErr w:type="spellStart"/>
      <w:r w:rsidRPr="00594F91">
        <w:rPr>
          <w:i/>
        </w:rPr>
        <w:t>M</w:t>
      </w:r>
      <w:r w:rsidRPr="00594F91">
        <w:rPr>
          <w:i/>
          <w:vertAlign w:val="subscript"/>
        </w:rPr>
        <w:t>v</w:t>
      </w:r>
      <w:proofErr w:type="spellEnd"/>
      <w:r w:rsidRPr="00594F91">
        <w:rPr>
          <w:i/>
        </w:rPr>
        <w:t xml:space="preserve"> = M</w:t>
      </w:r>
      <w:r w:rsidRPr="00594F91">
        <w:rPr>
          <w:i/>
          <w:vertAlign w:val="subscript"/>
        </w:rPr>
        <w:t>w</w:t>
      </w:r>
      <w:r w:rsidRPr="00594F91">
        <w:rPr>
          <w:i/>
        </w:rPr>
        <w:t xml:space="preserve"> = M</w:t>
      </w:r>
      <w:r w:rsidRPr="00594F91">
        <w:rPr>
          <w:i/>
          <w:vertAlign w:val="subscript"/>
        </w:rPr>
        <w:t>n</w:t>
      </w:r>
      <w:r w:rsidRPr="00594F91">
        <w:rPr>
          <w:i/>
        </w:rPr>
        <w:t xml:space="preserve">.  Figure 3’s main point is that the intrinsic viscosity drops with the length of the branches.  </w:t>
      </w:r>
      <w:r w:rsidRPr="00DC4910">
        <w:rPr>
          <w:b/>
          <w:i/>
        </w:rPr>
        <w:t>Explain why this might be the case. Write a function that could describe this dependence.  Comment on the slope “a” in these curves which are listed in Table I.</w:t>
      </w:r>
      <w:r w:rsidRPr="00594F91">
        <w:rPr>
          <w:i/>
        </w:rPr>
        <w:t xml:space="preserve">  </w:t>
      </w:r>
    </w:p>
    <w:p w14:paraId="2D696AC6" w14:textId="1372838F" w:rsidR="00DC4910" w:rsidRPr="00DC4910" w:rsidRDefault="00DC4910" w:rsidP="00DC4910"/>
    <w:p w14:paraId="2B2DCC48" w14:textId="595868FD" w:rsidR="00DC4910" w:rsidRDefault="00DC4910" w:rsidP="00DC4910">
      <w:pPr>
        <w:rPr>
          <w:sz w:val="26"/>
        </w:rPr>
      </w:pPr>
      <w:r>
        <w:t>[</w:t>
      </w:r>
      <w:r w:rsidRPr="00DC4910">
        <w:rPr>
          <w:rFonts w:ascii="Symbol" w:hAnsi="Symbol"/>
          <w:i/>
        </w:rPr>
        <w:t></w:t>
      </w:r>
      <w:r>
        <w:rPr>
          <w:sz w:val="26"/>
        </w:rPr>
        <w:t>] is proportional to the inverse of the density of a polymer coil, 1/</w:t>
      </w:r>
      <w:r w:rsidRPr="00DC4910">
        <w:rPr>
          <w:i/>
          <w:sz w:val="26"/>
        </w:rPr>
        <w:t>c</w:t>
      </w:r>
      <w:r w:rsidRPr="00DC4910">
        <w:rPr>
          <w:sz w:val="26"/>
          <w:vertAlign w:val="superscript"/>
        </w:rPr>
        <w:t>*</w:t>
      </w:r>
      <w:r>
        <w:rPr>
          <w:sz w:val="26"/>
        </w:rPr>
        <w:t xml:space="preserve">.  For a chain that has the same scaling (slope of the lines in Figure 3) adding short chain branches would make the chains denser so </w:t>
      </w:r>
      <w:r>
        <w:t>[</w:t>
      </w:r>
      <w:r w:rsidRPr="00DC4910">
        <w:rPr>
          <w:rFonts w:ascii="Symbol" w:hAnsi="Symbol"/>
          <w:i/>
        </w:rPr>
        <w:t></w:t>
      </w:r>
      <w:r>
        <w:rPr>
          <w:sz w:val="26"/>
        </w:rPr>
        <w:t>]</w:t>
      </w:r>
      <w:r>
        <w:rPr>
          <w:sz w:val="26"/>
        </w:rPr>
        <w:t xml:space="preserve"> should drop.  If we can assume that the chain scaling remains constant, then an expression for </w:t>
      </w:r>
      <w:r>
        <w:t>[</w:t>
      </w:r>
      <w:r w:rsidRPr="00DC4910">
        <w:rPr>
          <w:rFonts w:ascii="Symbol" w:hAnsi="Symbol"/>
          <w:i/>
        </w:rPr>
        <w:t></w:t>
      </w:r>
      <w:r>
        <w:rPr>
          <w:sz w:val="26"/>
        </w:rPr>
        <w:t>]</w:t>
      </w:r>
      <w:r>
        <w:rPr>
          <w:sz w:val="26"/>
        </w:rPr>
        <w:t xml:space="preserve"> with branch length can be written,</w:t>
      </w:r>
    </w:p>
    <w:p w14:paraId="154100B3" w14:textId="356A1FDA" w:rsidR="00DD5DFF" w:rsidRPr="00DD5DFF" w:rsidRDefault="00DC4910" w:rsidP="00DC4910">
      <w:pPr>
        <w:rPr>
          <w:sz w:val="26"/>
        </w:rPr>
      </w:pPr>
      <w:r>
        <w:lastRenderedPageBreak/>
        <w:t>[</w:t>
      </w:r>
      <w:r w:rsidRPr="00DC4910">
        <w:rPr>
          <w:rFonts w:ascii="Symbol" w:hAnsi="Symbol"/>
          <w:i/>
        </w:rPr>
        <w:t></w:t>
      </w:r>
      <w:r>
        <w:rPr>
          <w:sz w:val="26"/>
        </w:rPr>
        <w:t>]</w:t>
      </w:r>
      <w:r>
        <w:rPr>
          <w:sz w:val="26"/>
        </w:rPr>
        <w:t xml:space="preserve"> = </w:t>
      </w:r>
      <w:r w:rsidRPr="00DC4910">
        <w:rPr>
          <w:i/>
          <w:sz w:val="26"/>
        </w:rPr>
        <w:t>V</w:t>
      </w:r>
      <w:r>
        <w:rPr>
          <w:sz w:val="26"/>
        </w:rPr>
        <w:t>/</w:t>
      </w:r>
      <w:r w:rsidRPr="00DC4910">
        <w:rPr>
          <w:i/>
          <w:sz w:val="26"/>
        </w:rPr>
        <w:t>Mass</w:t>
      </w:r>
      <w:r>
        <w:rPr>
          <w:sz w:val="26"/>
        </w:rPr>
        <w:t xml:space="preserve"> = </w:t>
      </w:r>
      <w:r w:rsidRPr="00DC4910">
        <w:rPr>
          <w:i/>
          <w:sz w:val="26"/>
        </w:rPr>
        <w:t>M</w:t>
      </w:r>
      <w:r w:rsidRPr="00DC4910">
        <w:rPr>
          <w:sz w:val="26"/>
          <w:vertAlign w:val="superscript"/>
        </w:rPr>
        <w:t>3/</w:t>
      </w:r>
      <w:r w:rsidRPr="00DC4910">
        <w:rPr>
          <w:i/>
          <w:sz w:val="26"/>
          <w:vertAlign w:val="superscript"/>
        </w:rPr>
        <w:t>d</w:t>
      </w:r>
      <w:r w:rsidRPr="00DC4910">
        <w:rPr>
          <w:sz w:val="26"/>
          <w:vertAlign w:val="superscript"/>
        </w:rPr>
        <w:t>f-</w:t>
      </w:r>
      <w:r>
        <w:rPr>
          <w:sz w:val="26"/>
          <w:vertAlign w:val="superscript"/>
        </w:rPr>
        <w:t>1</w:t>
      </w:r>
      <w:r>
        <w:rPr>
          <w:sz w:val="26"/>
        </w:rPr>
        <w:t>.  Here the volume is constant since the slope is constant in Figure 3 so only the mass</w:t>
      </w:r>
      <w:r w:rsidR="00DD5DFF">
        <w:rPr>
          <w:sz w:val="26"/>
        </w:rPr>
        <w:t xml:space="preserve"> is changing, not the scaling.  So </w:t>
      </w:r>
      <w:r w:rsidR="00DD5DFF">
        <w:rPr>
          <w:sz w:val="26"/>
        </w:rPr>
        <w:br/>
      </w:r>
      <w:r w:rsidR="00DD5DFF">
        <w:t>[</w:t>
      </w:r>
      <w:proofErr w:type="gramStart"/>
      <w:r w:rsidR="00DD5DFF" w:rsidRPr="00DC4910">
        <w:rPr>
          <w:rFonts w:ascii="Symbol" w:hAnsi="Symbol"/>
          <w:i/>
        </w:rPr>
        <w:t></w:t>
      </w:r>
      <w:r w:rsidR="00DD5DFF">
        <w:rPr>
          <w:sz w:val="26"/>
        </w:rPr>
        <w:t>]</w:t>
      </w:r>
      <w:r w:rsidR="00DD5DFF" w:rsidRPr="00DD5DFF">
        <w:rPr>
          <w:sz w:val="26"/>
          <w:vertAlign w:val="subscript"/>
        </w:rPr>
        <w:t>SCB</w:t>
      </w:r>
      <w:proofErr w:type="gramEnd"/>
      <w:r w:rsidR="00DD5DFF">
        <w:rPr>
          <w:sz w:val="26"/>
        </w:rPr>
        <w:t xml:space="preserve"> =</w:t>
      </w:r>
      <w:r w:rsidR="00DD5DFF">
        <w:rPr>
          <w:sz w:val="26"/>
        </w:rPr>
        <w:t xml:space="preserve"> </w:t>
      </w:r>
      <w:r w:rsidR="00DD5DFF">
        <w:t>[</w:t>
      </w:r>
      <w:r w:rsidR="00DD5DFF" w:rsidRPr="00DC4910">
        <w:rPr>
          <w:rFonts w:ascii="Symbol" w:hAnsi="Symbol"/>
          <w:i/>
        </w:rPr>
        <w:t></w:t>
      </w:r>
      <w:r w:rsidR="00DD5DFF">
        <w:rPr>
          <w:sz w:val="26"/>
        </w:rPr>
        <w:t>]</w:t>
      </w:r>
      <w:r w:rsidR="00DD5DFF" w:rsidRPr="00DD5DFF">
        <w:rPr>
          <w:sz w:val="26"/>
          <w:vertAlign w:val="subscript"/>
        </w:rPr>
        <w:t>Linear</w:t>
      </w:r>
      <w:r w:rsidR="00DD5DFF">
        <w:rPr>
          <w:sz w:val="26"/>
        </w:rPr>
        <w:t xml:space="preserve"> </w:t>
      </w:r>
      <w:proofErr w:type="spellStart"/>
      <w:r w:rsidR="00DD5DFF">
        <w:rPr>
          <w:sz w:val="26"/>
        </w:rPr>
        <w:t>M</w:t>
      </w:r>
      <w:r w:rsidR="00DD5DFF" w:rsidRPr="00DD5DFF">
        <w:rPr>
          <w:sz w:val="26"/>
          <w:vertAlign w:val="subscript"/>
        </w:rPr>
        <w:t>Linear</w:t>
      </w:r>
      <w:proofErr w:type="spellEnd"/>
      <w:r w:rsidR="00DD5DFF">
        <w:rPr>
          <w:sz w:val="26"/>
        </w:rPr>
        <w:t>/(</w:t>
      </w:r>
      <w:proofErr w:type="spellStart"/>
      <w:r w:rsidR="00DD5DFF">
        <w:rPr>
          <w:sz w:val="26"/>
        </w:rPr>
        <w:t>M</w:t>
      </w:r>
      <w:r w:rsidR="00DD5DFF" w:rsidRPr="00DD5DFF">
        <w:rPr>
          <w:sz w:val="26"/>
          <w:vertAlign w:val="subscript"/>
        </w:rPr>
        <w:t>Linear</w:t>
      </w:r>
      <w:proofErr w:type="spellEnd"/>
      <w:r w:rsidR="00DD5DFF">
        <w:rPr>
          <w:sz w:val="26"/>
        </w:rPr>
        <w:t xml:space="preserve"> + {</w:t>
      </w:r>
      <w:proofErr w:type="spellStart"/>
      <w:r w:rsidR="00DD5DFF">
        <w:rPr>
          <w:sz w:val="26"/>
        </w:rPr>
        <w:t>M</w:t>
      </w:r>
      <w:r w:rsidR="00DD5DFF" w:rsidRPr="00DD5DFF">
        <w:rPr>
          <w:sz w:val="26"/>
          <w:vertAlign w:val="subscript"/>
        </w:rPr>
        <w:t>Linear</w:t>
      </w:r>
      <w:proofErr w:type="spellEnd"/>
      <w:r w:rsidR="00DD5DFF">
        <w:rPr>
          <w:sz w:val="26"/>
        </w:rPr>
        <w:t xml:space="preserve">/(8 </w:t>
      </w:r>
      <w:proofErr w:type="spellStart"/>
      <w:r w:rsidR="00DD5DFF">
        <w:rPr>
          <w:sz w:val="26"/>
        </w:rPr>
        <w:t>M</w:t>
      </w:r>
      <w:r w:rsidR="00DD5DFF" w:rsidRPr="00DD5DFF">
        <w:rPr>
          <w:sz w:val="26"/>
          <w:vertAlign w:val="subscript"/>
        </w:rPr>
        <w:t>Monomer</w:t>
      </w:r>
      <w:proofErr w:type="spellEnd"/>
      <w:r w:rsidR="00DD5DFF">
        <w:rPr>
          <w:sz w:val="26"/>
        </w:rPr>
        <w:t>)}</w:t>
      </w:r>
      <w:r w:rsidR="00DD5DFF" w:rsidRPr="00DD5DFF">
        <w:rPr>
          <w:sz w:val="26"/>
        </w:rPr>
        <w:t xml:space="preserve"> </w:t>
      </w:r>
      <w:r w:rsidR="00DD5DFF">
        <w:rPr>
          <w:sz w:val="26"/>
        </w:rPr>
        <w:t>(C#)</w:t>
      </w:r>
      <w:proofErr w:type="spellStart"/>
      <w:r w:rsidR="00DD5DFF">
        <w:rPr>
          <w:sz w:val="26"/>
        </w:rPr>
        <w:t>M</w:t>
      </w:r>
      <w:r w:rsidR="00DD5DFF" w:rsidRPr="00DD5DFF">
        <w:rPr>
          <w:sz w:val="26"/>
          <w:vertAlign w:val="subscript"/>
        </w:rPr>
        <w:t>Monomer</w:t>
      </w:r>
      <w:proofErr w:type="spellEnd"/>
      <w:r w:rsidR="00DD5DFF">
        <w:rPr>
          <w:sz w:val="26"/>
        </w:rPr>
        <w:t>)</w:t>
      </w:r>
      <w:r w:rsidR="00DD5DFF">
        <w:rPr>
          <w:sz w:val="26"/>
        </w:rPr>
        <w:br/>
        <w:t xml:space="preserve">           = </w:t>
      </w:r>
      <w:r w:rsidR="00DD5DFF">
        <w:t>[</w:t>
      </w:r>
      <w:r w:rsidR="00DD5DFF" w:rsidRPr="00DC4910">
        <w:rPr>
          <w:rFonts w:ascii="Symbol" w:hAnsi="Symbol"/>
          <w:i/>
        </w:rPr>
        <w:t></w:t>
      </w:r>
      <w:r w:rsidR="00DD5DFF">
        <w:rPr>
          <w:sz w:val="26"/>
        </w:rPr>
        <w:t>]</w:t>
      </w:r>
      <w:r w:rsidR="00DD5DFF" w:rsidRPr="00DD5DFF">
        <w:rPr>
          <w:sz w:val="26"/>
          <w:vertAlign w:val="subscript"/>
        </w:rPr>
        <w:t>Linear</w:t>
      </w:r>
      <w:r w:rsidR="00DD5DFF">
        <w:rPr>
          <w:sz w:val="26"/>
        </w:rPr>
        <w:t xml:space="preserve">/(1 + </w:t>
      </w:r>
      <w:r w:rsidR="00DD5DFF">
        <w:rPr>
          <w:sz w:val="26"/>
        </w:rPr>
        <w:t>C#</w:t>
      </w:r>
      <w:r w:rsidR="00DD5DFF">
        <w:rPr>
          <w:sz w:val="26"/>
        </w:rPr>
        <w:t>/8)</w:t>
      </w:r>
      <w:r w:rsidR="00DD5DFF">
        <w:rPr>
          <w:sz w:val="26"/>
        </w:rPr>
        <w:br/>
        <w:t xml:space="preserve">where </w:t>
      </w:r>
      <w:r w:rsidR="00DD5DFF">
        <w:rPr>
          <w:sz w:val="26"/>
        </w:rPr>
        <w:t>{</w:t>
      </w:r>
      <w:proofErr w:type="spellStart"/>
      <w:r w:rsidR="00DD5DFF">
        <w:rPr>
          <w:sz w:val="26"/>
        </w:rPr>
        <w:t>M</w:t>
      </w:r>
      <w:r w:rsidR="00DD5DFF" w:rsidRPr="00DD5DFF">
        <w:rPr>
          <w:sz w:val="26"/>
          <w:vertAlign w:val="subscript"/>
        </w:rPr>
        <w:t>Linear</w:t>
      </w:r>
      <w:proofErr w:type="spellEnd"/>
      <w:r w:rsidR="00DD5DFF">
        <w:rPr>
          <w:sz w:val="26"/>
        </w:rPr>
        <w:t xml:space="preserve">/(8 </w:t>
      </w:r>
      <w:proofErr w:type="spellStart"/>
      <w:r w:rsidR="00DD5DFF">
        <w:rPr>
          <w:sz w:val="26"/>
        </w:rPr>
        <w:t>M</w:t>
      </w:r>
      <w:r w:rsidR="00DD5DFF" w:rsidRPr="00DD5DFF">
        <w:rPr>
          <w:sz w:val="26"/>
          <w:vertAlign w:val="subscript"/>
        </w:rPr>
        <w:t>Monomer</w:t>
      </w:r>
      <w:proofErr w:type="spellEnd"/>
      <w:r w:rsidR="00DD5DFF">
        <w:rPr>
          <w:sz w:val="26"/>
        </w:rPr>
        <w:t>)}</w:t>
      </w:r>
      <w:r w:rsidR="00DD5DFF">
        <w:rPr>
          <w:sz w:val="26"/>
        </w:rPr>
        <w:t xml:space="preserve"> is the number of branches in a chain, C# is the number of carbons in a branch.  Here a monomer is a single methylene unit.  </w:t>
      </w:r>
      <w:r w:rsidR="00DD5DFF">
        <w:rPr>
          <w:sz w:val="26"/>
        </w:rPr>
        <w:br/>
      </w:r>
    </w:p>
    <w:tbl>
      <w:tblPr>
        <w:tblStyle w:val="TableGrid"/>
        <w:tblW w:w="0" w:type="auto"/>
        <w:tblLook w:val="04A0" w:firstRow="1" w:lastRow="0" w:firstColumn="1" w:lastColumn="0" w:noHBand="0" w:noVBand="1"/>
      </w:tblPr>
      <w:tblGrid>
        <w:gridCol w:w="1523"/>
        <w:gridCol w:w="1293"/>
        <w:gridCol w:w="1308"/>
        <w:gridCol w:w="1302"/>
        <w:gridCol w:w="1308"/>
        <w:gridCol w:w="1308"/>
        <w:gridCol w:w="1308"/>
      </w:tblGrid>
      <w:tr w:rsidR="00DD5DFF" w14:paraId="7099300C" w14:textId="77777777" w:rsidTr="005E28CB">
        <w:tc>
          <w:tcPr>
            <w:tcW w:w="1523" w:type="dxa"/>
          </w:tcPr>
          <w:p w14:paraId="67075C77" w14:textId="2A6A7433" w:rsidR="00DD5DFF" w:rsidRDefault="00DD5DFF" w:rsidP="00DC4910"/>
        </w:tc>
        <w:tc>
          <w:tcPr>
            <w:tcW w:w="1293" w:type="dxa"/>
          </w:tcPr>
          <w:p w14:paraId="20732437" w14:textId="38A5A71F" w:rsidR="00DD5DFF" w:rsidRDefault="005E28CB" w:rsidP="005E28CB">
            <w:pPr>
              <w:jc w:val="center"/>
            </w:pPr>
            <w:r>
              <w:t>C0</w:t>
            </w:r>
          </w:p>
        </w:tc>
        <w:tc>
          <w:tcPr>
            <w:tcW w:w="1308" w:type="dxa"/>
          </w:tcPr>
          <w:p w14:paraId="7C41036E" w14:textId="65C6D9F7" w:rsidR="00DD5DFF" w:rsidRDefault="005E28CB" w:rsidP="005E28CB">
            <w:pPr>
              <w:jc w:val="center"/>
            </w:pPr>
            <w:r>
              <w:t>C1</w:t>
            </w:r>
          </w:p>
        </w:tc>
        <w:tc>
          <w:tcPr>
            <w:tcW w:w="1302" w:type="dxa"/>
          </w:tcPr>
          <w:p w14:paraId="652D8EAA" w14:textId="02F5CA9C" w:rsidR="00DD5DFF" w:rsidRDefault="005E28CB" w:rsidP="005E28CB">
            <w:pPr>
              <w:jc w:val="center"/>
            </w:pPr>
            <w:r>
              <w:t>C2</w:t>
            </w:r>
          </w:p>
        </w:tc>
        <w:tc>
          <w:tcPr>
            <w:tcW w:w="1308" w:type="dxa"/>
          </w:tcPr>
          <w:p w14:paraId="1FC70BC4" w14:textId="6DD8B48E" w:rsidR="00DD5DFF" w:rsidRDefault="005E28CB" w:rsidP="005E28CB">
            <w:pPr>
              <w:jc w:val="center"/>
            </w:pPr>
            <w:r>
              <w:t>C4</w:t>
            </w:r>
          </w:p>
        </w:tc>
        <w:tc>
          <w:tcPr>
            <w:tcW w:w="1308" w:type="dxa"/>
          </w:tcPr>
          <w:p w14:paraId="321B2948" w14:textId="10A32AA4" w:rsidR="00DD5DFF" w:rsidRDefault="005E28CB" w:rsidP="005E28CB">
            <w:pPr>
              <w:jc w:val="center"/>
            </w:pPr>
            <w:r>
              <w:t>C6</w:t>
            </w:r>
          </w:p>
        </w:tc>
        <w:tc>
          <w:tcPr>
            <w:tcW w:w="1308" w:type="dxa"/>
          </w:tcPr>
          <w:p w14:paraId="570B8925" w14:textId="0E789501" w:rsidR="00DD5DFF" w:rsidRDefault="005E28CB" w:rsidP="005E28CB">
            <w:pPr>
              <w:jc w:val="center"/>
            </w:pPr>
            <w:r>
              <w:t>C10</w:t>
            </w:r>
          </w:p>
        </w:tc>
      </w:tr>
      <w:tr w:rsidR="00DD5DFF" w14:paraId="415AA908" w14:textId="77777777" w:rsidTr="005E28CB">
        <w:tc>
          <w:tcPr>
            <w:tcW w:w="1523" w:type="dxa"/>
          </w:tcPr>
          <w:p w14:paraId="3FD533DF" w14:textId="49E4B672" w:rsidR="00DD5DFF" w:rsidRDefault="005E28CB" w:rsidP="005E28CB">
            <w:pPr>
              <w:jc w:val="center"/>
            </w:pPr>
            <w:r>
              <w:t>Enhancement Calculated</w:t>
            </w:r>
          </w:p>
        </w:tc>
        <w:tc>
          <w:tcPr>
            <w:tcW w:w="1293" w:type="dxa"/>
          </w:tcPr>
          <w:p w14:paraId="7133C10F" w14:textId="0A26BC00" w:rsidR="00DD5DFF" w:rsidRDefault="005E28CB" w:rsidP="005E28CB">
            <w:pPr>
              <w:jc w:val="center"/>
            </w:pPr>
            <w:r>
              <w:t>1</w:t>
            </w:r>
          </w:p>
        </w:tc>
        <w:tc>
          <w:tcPr>
            <w:tcW w:w="1308" w:type="dxa"/>
          </w:tcPr>
          <w:p w14:paraId="69824E7D" w14:textId="2559E39A" w:rsidR="00DD5DFF" w:rsidRDefault="005E28CB" w:rsidP="005E28CB">
            <w:pPr>
              <w:jc w:val="center"/>
            </w:pPr>
            <w:r>
              <w:t>0.889</w:t>
            </w:r>
          </w:p>
        </w:tc>
        <w:tc>
          <w:tcPr>
            <w:tcW w:w="1302" w:type="dxa"/>
          </w:tcPr>
          <w:p w14:paraId="4709FCEF" w14:textId="05068245" w:rsidR="00DD5DFF" w:rsidRDefault="005E28CB" w:rsidP="005E28CB">
            <w:pPr>
              <w:jc w:val="center"/>
            </w:pPr>
            <w:r>
              <w:t>0.8</w:t>
            </w:r>
          </w:p>
        </w:tc>
        <w:tc>
          <w:tcPr>
            <w:tcW w:w="1308" w:type="dxa"/>
          </w:tcPr>
          <w:p w14:paraId="65392966" w14:textId="47C8CABD" w:rsidR="00DD5DFF" w:rsidRDefault="005E28CB" w:rsidP="005E28CB">
            <w:pPr>
              <w:jc w:val="center"/>
            </w:pPr>
            <w:r>
              <w:t>0.667</w:t>
            </w:r>
          </w:p>
        </w:tc>
        <w:tc>
          <w:tcPr>
            <w:tcW w:w="1308" w:type="dxa"/>
          </w:tcPr>
          <w:p w14:paraId="5CF62052" w14:textId="38059ECD" w:rsidR="00DD5DFF" w:rsidRDefault="005E28CB" w:rsidP="005E28CB">
            <w:pPr>
              <w:jc w:val="center"/>
            </w:pPr>
            <w:r>
              <w:t>0.571</w:t>
            </w:r>
          </w:p>
        </w:tc>
        <w:tc>
          <w:tcPr>
            <w:tcW w:w="1308" w:type="dxa"/>
          </w:tcPr>
          <w:p w14:paraId="6942C3B3" w14:textId="78FB4FC1" w:rsidR="00DD5DFF" w:rsidRDefault="005E28CB" w:rsidP="005E28CB">
            <w:pPr>
              <w:jc w:val="center"/>
            </w:pPr>
            <w:r>
              <w:t>0.444</w:t>
            </w:r>
          </w:p>
        </w:tc>
      </w:tr>
      <w:tr w:rsidR="00DD5DFF" w14:paraId="31F312B2" w14:textId="77777777" w:rsidTr="005E28CB">
        <w:tc>
          <w:tcPr>
            <w:tcW w:w="1523" w:type="dxa"/>
          </w:tcPr>
          <w:p w14:paraId="4E136D2D" w14:textId="47F24C68" w:rsidR="00DD5DFF" w:rsidRDefault="005E28CB" w:rsidP="005E28CB">
            <w:pPr>
              <w:jc w:val="center"/>
            </w:pPr>
            <w:r>
              <w:t xml:space="preserve">Enhancement Measured </w:t>
            </w:r>
            <w:proofErr w:type="gramStart"/>
            <w:r>
              <w:t>From</w:t>
            </w:r>
            <w:proofErr w:type="gramEnd"/>
            <w:r>
              <w:t xml:space="preserve"> MH K values</w:t>
            </w:r>
          </w:p>
        </w:tc>
        <w:tc>
          <w:tcPr>
            <w:tcW w:w="1293" w:type="dxa"/>
          </w:tcPr>
          <w:p w14:paraId="5A5025F2" w14:textId="5C2FA336" w:rsidR="00DD5DFF" w:rsidRDefault="005E28CB" w:rsidP="005E28CB">
            <w:pPr>
              <w:jc w:val="center"/>
            </w:pPr>
            <w:r>
              <w:t>1</w:t>
            </w:r>
          </w:p>
        </w:tc>
        <w:tc>
          <w:tcPr>
            <w:tcW w:w="1308" w:type="dxa"/>
          </w:tcPr>
          <w:p w14:paraId="4FCCA382" w14:textId="779DB217" w:rsidR="00DD5DFF" w:rsidRDefault="005E28CB" w:rsidP="005E28CB">
            <w:pPr>
              <w:jc w:val="center"/>
            </w:pPr>
            <w:r>
              <w:t>1.53</w:t>
            </w:r>
          </w:p>
        </w:tc>
        <w:tc>
          <w:tcPr>
            <w:tcW w:w="1302" w:type="dxa"/>
          </w:tcPr>
          <w:p w14:paraId="78A98FF5" w14:textId="6810B09D" w:rsidR="00DD5DFF" w:rsidRDefault="005E28CB" w:rsidP="005E28CB">
            <w:pPr>
              <w:jc w:val="center"/>
            </w:pPr>
            <w:r>
              <w:t>0.67</w:t>
            </w:r>
          </w:p>
        </w:tc>
        <w:tc>
          <w:tcPr>
            <w:tcW w:w="1308" w:type="dxa"/>
          </w:tcPr>
          <w:p w14:paraId="1C04B320" w14:textId="35548582" w:rsidR="00DD5DFF" w:rsidRDefault="005E28CB" w:rsidP="005E28CB">
            <w:pPr>
              <w:jc w:val="center"/>
            </w:pPr>
            <w:r>
              <w:t>1.24</w:t>
            </w:r>
          </w:p>
        </w:tc>
        <w:tc>
          <w:tcPr>
            <w:tcW w:w="1308" w:type="dxa"/>
          </w:tcPr>
          <w:p w14:paraId="7B5895AF" w14:textId="5C7FCA2D" w:rsidR="00DD5DFF" w:rsidRDefault="005E28CB" w:rsidP="005E28CB">
            <w:pPr>
              <w:jc w:val="center"/>
            </w:pPr>
            <w:r>
              <w:t>0.724</w:t>
            </w:r>
          </w:p>
        </w:tc>
        <w:tc>
          <w:tcPr>
            <w:tcW w:w="1308" w:type="dxa"/>
          </w:tcPr>
          <w:p w14:paraId="10734A38" w14:textId="51ED132F" w:rsidR="00DD5DFF" w:rsidRDefault="005E28CB" w:rsidP="005E28CB">
            <w:pPr>
              <w:jc w:val="center"/>
            </w:pPr>
            <w:r>
              <w:t>0.36</w:t>
            </w:r>
          </w:p>
        </w:tc>
      </w:tr>
      <w:tr w:rsidR="00B208B7" w14:paraId="09F9C45D" w14:textId="77777777" w:rsidTr="005E28CB">
        <w:tc>
          <w:tcPr>
            <w:tcW w:w="1523" w:type="dxa"/>
          </w:tcPr>
          <w:p w14:paraId="74D5998E" w14:textId="09361197" w:rsidR="00B208B7" w:rsidRDefault="00B208B7" w:rsidP="005E28CB">
            <w:pPr>
              <w:jc w:val="center"/>
            </w:pPr>
            <w:r>
              <w:t xml:space="preserve">Estimated From </w:t>
            </w:r>
            <w:r>
              <w:br/>
              <w:t>Figure 4</w:t>
            </w:r>
          </w:p>
        </w:tc>
        <w:tc>
          <w:tcPr>
            <w:tcW w:w="1293" w:type="dxa"/>
          </w:tcPr>
          <w:p w14:paraId="4170CE7A" w14:textId="7A4D88E5" w:rsidR="00B208B7" w:rsidRDefault="00B208B7" w:rsidP="005E28CB">
            <w:pPr>
              <w:jc w:val="center"/>
            </w:pPr>
            <w:r>
              <w:t>1</w:t>
            </w:r>
          </w:p>
        </w:tc>
        <w:tc>
          <w:tcPr>
            <w:tcW w:w="1308" w:type="dxa"/>
          </w:tcPr>
          <w:p w14:paraId="1FADFBC2" w14:textId="6019004A" w:rsidR="00B208B7" w:rsidRDefault="00CC3C88" w:rsidP="005E28CB">
            <w:pPr>
              <w:jc w:val="center"/>
            </w:pPr>
            <w:r>
              <w:t>0.84</w:t>
            </w:r>
          </w:p>
        </w:tc>
        <w:tc>
          <w:tcPr>
            <w:tcW w:w="1302" w:type="dxa"/>
          </w:tcPr>
          <w:p w14:paraId="70A0085B" w14:textId="0C8ADD4D" w:rsidR="00B208B7" w:rsidRDefault="00CC3C88" w:rsidP="005E28CB">
            <w:pPr>
              <w:jc w:val="center"/>
            </w:pPr>
            <w:r>
              <w:t>0.71</w:t>
            </w:r>
          </w:p>
        </w:tc>
        <w:tc>
          <w:tcPr>
            <w:tcW w:w="1308" w:type="dxa"/>
          </w:tcPr>
          <w:p w14:paraId="466D84D1" w14:textId="473F4746" w:rsidR="00B208B7" w:rsidRDefault="00CC3C88" w:rsidP="005E28CB">
            <w:pPr>
              <w:jc w:val="center"/>
            </w:pPr>
            <w:r>
              <w:t>0.65</w:t>
            </w:r>
          </w:p>
        </w:tc>
        <w:tc>
          <w:tcPr>
            <w:tcW w:w="1308" w:type="dxa"/>
          </w:tcPr>
          <w:p w14:paraId="728D2635" w14:textId="6764D09B" w:rsidR="00B208B7" w:rsidRDefault="00CC3C88" w:rsidP="005E28CB">
            <w:pPr>
              <w:jc w:val="center"/>
            </w:pPr>
            <w:r>
              <w:t>0.53</w:t>
            </w:r>
          </w:p>
        </w:tc>
        <w:tc>
          <w:tcPr>
            <w:tcW w:w="1308" w:type="dxa"/>
          </w:tcPr>
          <w:p w14:paraId="2BFFA8C1" w14:textId="0426694E" w:rsidR="00B208B7" w:rsidRDefault="00CC3C88" w:rsidP="005E28CB">
            <w:pPr>
              <w:jc w:val="center"/>
            </w:pPr>
            <w:r>
              <w:t>0.44</w:t>
            </w:r>
          </w:p>
        </w:tc>
      </w:tr>
    </w:tbl>
    <w:p w14:paraId="5F19707B" w14:textId="45D39F04" w:rsidR="00DC4910" w:rsidRDefault="005E28CB" w:rsidP="005E28CB">
      <w:r>
        <w:t>There isn’t a very good correlation between the model and the measurement</w:t>
      </w:r>
      <w:r w:rsidR="00CC3C88">
        <w:t xml:space="preserve"> for the Mark </w:t>
      </w:r>
      <w:proofErr w:type="spellStart"/>
      <w:r w:rsidR="00CC3C88">
        <w:t>Houwink</w:t>
      </w:r>
      <w:proofErr w:type="spellEnd"/>
      <w:r w:rsidR="00CC3C88">
        <w:t xml:space="preserve"> K values</w:t>
      </w:r>
      <w:r>
        <w:t>.  The</w:t>
      </w:r>
      <w:r w:rsidR="00CC3C88">
        <w:t>se</w:t>
      </w:r>
      <w:r>
        <w:t xml:space="preserve"> measurement</w:t>
      </w:r>
      <w:r w:rsidR="00CC3C88">
        <w:t>s</w:t>
      </w:r>
      <w:r>
        <w:t xml:space="preserve"> seem to be fluctuating with no trend.  </w:t>
      </w:r>
      <w:r w:rsidR="00CC3C88">
        <w:t xml:space="preserve">The ratio of intrinsic viscosity plotted in Figure 4 is more monotonic in branch length and the values are almost exactly what the model suggests.  </w:t>
      </w:r>
    </w:p>
    <w:p w14:paraId="44F4D06A" w14:textId="77777777" w:rsidR="00DD5DFF" w:rsidRPr="00DC4910" w:rsidRDefault="00DD5DFF" w:rsidP="00DC4910"/>
    <w:p w14:paraId="569AEE47" w14:textId="684B5D4D" w:rsidR="00594F91" w:rsidRDefault="00594F91" w:rsidP="00594F91">
      <w:pPr>
        <w:pStyle w:val="ListParagraph"/>
        <w:numPr>
          <w:ilvl w:val="0"/>
          <w:numId w:val="30"/>
        </w:numPr>
        <w:rPr>
          <w:i/>
        </w:rPr>
      </w:pPr>
      <w:r w:rsidRPr="00594F91">
        <w:rPr>
          <w:i/>
        </w:rPr>
        <w:t xml:space="preserve">The slopes in Figure 3 indicate that short chain branching does not impact long-range interaction, </w:t>
      </w:r>
      <w:proofErr w:type="spellStart"/>
      <w:r w:rsidRPr="00594F91">
        <w:rPr>
          <w:i/>
        </w:rPr>
        <w:t>i.e</w:t>
      </w:r>
      <w:proofErr w:type="spellEnd"/>
      <w:r w:rsidRPr="00594F91">
        <w:rPr>
          <w:i/>
        </w:rPr>
        <w:t xml:space="preserve"> chain scaling.  We know that short chain branching does affect short-range interactions, i.e. Kuhn length, from experiments and from many computer simulations, some of which we have looked at in previous quizzes.  </w:t>
      </w:r>
      <w:r w:rsidRPr="00A445CF">
        <w:rPr>
          <w:b/>
          <w:i/>
        </w:rPr>
        <w:t>Does the Kuhn length impact: the coil density; [</w:t>
      </w:r>
      <w:r w:rsidRPr="00A445CF">
        <w:rPr>
          <w:rFonts w:ascii="Symbol" w:hAnsi="Symbol"/>
          <w:b/>
          <w:i/>
        </w:rPr>
        <w:t></w:t>
      </w:r>
      <w:r w:rsidRPr="00A445CF">
        <w:rPr>
          <w:b/>
          <w:i/>
        </w:rPr>
        <w:t>]; R</w:t>
      </w:r>
      <w:r w:rsidRPr="00A445CF">
        <w:rPr>
          <w:b/>
          <w:i/>
          <w:vertAlign w:val="subscript"/>
        </w:rPr>
        <w:t>h</w:t>
      </w:r>
      <w:r w:rsidRPr="00A445CF">
        <w:rPr>
          <w:b/>
          <w:i/>
        </w:rPr>
        <w:t>; R</w:t>
      </w:r>
      <w:r w:rsidRPr="00A445CF">
        <w:rPr>
          <w:b/>
          <w:i/>
          <w:vertAlign w:val="subscript"/>
        </w:rPr>
        <w:t>g</w:t>
      </w:r>
      <w:r w:rsidRPr="00A445CF">
        <w:rPr>
          <w:b/>
          <w:i/>
        </w:rPr>
        <w:t>; M</w:t>
      </w:r>
      <w:r w:rsidRPr="00A445CF">
        <w:rPr>
          <w:b/>
          <w:i/>
          <w:vertAlign w:val="subscript"/>
        </w:rPr>
        <w:t>w</w:t>
      </w:r>
      <w:r w:rsidRPr="00A445CF">
        <w:rPr>
          <w:b/>
          <w:i/>
        </w:rPr>
        <w:t>; c</w:t>
      </w:r>
      <w:r w:rsidRPr="00A445CF">
        <w:rPr>
          <w:b/>
          <w:i/>
          <w:vertAlign w:val="superscript"/>
        </w:rPr>
        <w:t>*</w:t>
      </w:r>
      <w:r w:rsidRPr="00A445CF">
        <w:rPr>
          <w:b/>
          <w:i/>
        </w:rPr>
        <w:t>?</w:t>
      </w:r>
    </w:p>
    <w:p w14:paraId="2E473BE0" w14:textId="0CAA666B" w:rsidR="00A445CF" w:rsidRPr="00A445CF" w:rsidRDefault="00A445CF" w:rsidP="00A445CF"/>
    <w:p w14:paraId="0027C21C" w14:textId="678F146B" w:rsidR="00A445CF" w:rsidRPr="00A445CF" w:rsidRDefault="00A445CF" w:rsidP="00A445CF">
      <w:r>
        <w:t xml:space="preserve">In the extreme that the chain becomes a rigid rod compared to a flexible coil everything except the molecular weight would be impacted by persistence.  Further, it is simple to measure the persistence length using neutron scattering or viscometry.  </w:t>
      </w:r>
      <w:proofErr w:type="gramStart"/>
      <w:r>
        <w:t>So</w:t>
      </w:r>
      <w:proofErr w:type="gramEnd"/>
      <w:r>
        <w:t xml:space="preserve"> it is rather odd that the persistence length wasn’t examined here given that NIST has its own neutron scattering facility and ample rheometry equipment.  In any case, the results from Figures 3 and 4 mentioned in question “b” seem to indicate that there is no impact on the persistence length due to these branches every 8 carbons.  Possibly, there is sufficient space to accommodate the branches which are 10 or shorter carbons in this space.  This would seem to be something worth noting.  </w:t>
      </w:r>
    </w:p>
    <w:p w14:paraId="289BA1C8" w14:textId="77777777" w:rsidR="00A445CF" w:rsidRPr="00A445CF" w:rsidRDefault="00A445CF" w:rsidP="00A445CF"/>
    <w:p w14:paraId="10B3ECE4" w14:textId="770F4CFF" w:rsidR="00594F91" w:rsidRDefault="00594F91" w:rsidP="00594F91">
      <w:pPr>
        <w:pStyle w:val="ListParagraph"/>
        <w:numPr>
          <w:ilvl w:val="0"/>
          <w:numId w:val="30"/>
        </w:numPr>
        <w:rPr>
          <w:i/>
        </w:rPr>
      </w:pPr>
      <w:r w:rsidRPr="00594F91">
        <w:rPr>
          <w:i/>
        </w:rPr>
        <w:t>Figure 4 shows the “</w:t>
      </w:r>
      <w:proofErr w:type="spellStart"/>
      <w:r w:rsidRPr="00594F91">
        <w:rPr>
          <w:i/>
        </w:rPr>
        <w:t>viscometric</w:t>
      </w:r>
      <w:proofErr w:type="spellEnd"/>
      <w:r w:rsidRPr="00594F91">
        <w:rPr>
          <w:i/>
        </w:rPr>
        <w:t xml:space="preserve"> contraction factor” g’.  (This term is better described in a paper by De Luca E, Richards RW, Molecular Characterization of a Hyperbranched Polyester. I. Dilute Solution Properties J. Polym. Sci. B </w:t>
      </w:r>
      <w:r w:rsidRPr="00594F91">
        <w:rPr>
          <w:b/>
          <w:i/>
        </w:rPr>
        <w:t>41</w:t>
      </w:r>
      <w:r w:rsidRPr="00594F91">
        <w:rPr>
          <w:i/>
        </w:rPr>
        <w:t xml:space="preserve"> 1339-1351 (2003).)  Explain what g’ reflects.  For instance, what does a value of 0.6, seen in Figure 4, indicate?</w:t>
      </w:r>
    </w:p>
    <w:p w14:paraId="2109C3B5" w14:textId="669F1F66" w:rsidR="00A445CF" w:rsidRPr="00A445CF" w:rsidRDefault="00A445CF" w:rsidP="00A445CF"/>
    <w:p w14:paraId="65C24848" w14:textId="695BE94B" w:rsidR="006F71DA" w:rsidRPr="00A445CF" w:rsidRDefault="00A445CF" w:rsidP="00A445CF">
      <w:r>
        <w:t xml:space="preserve">The analysis of part “b” shows that </w:t>
      </w:r>
      <w:r w:rsidRPr="00A445CF">
        <w:rPr>
          <w:i/>
        </w:rPr>
        <w:t>g</w:t>
      </w:r>
      <w:r>
        <w:t xml:space="preserve">’ reflects the mass added to the chain by the branches in this case.  Normally it would reflect changes in the chain scaling and size due to addition of branches.  The concept of </w:t>
      </w:r>
      <w:r w:rsidRPr="00A445CF">
        <w:rPr>
          <w:i/>
        </w:rPr>
        <w:t>g</w:t>
      </w:r>
      <w:r>
        <w:t>’ was developed for long chain branches so it is not really appropriate here, though it seems useful for the proposed equation in part “b”.</w:t>
      </w:r>
    </w:p>
    <w:p w14:paraId="073B8059" w14:textId="77777777" w:rsidR="00A445CF" w:rsidRPr="00A445CF" w:rsidRDefault="00A445CF" w:rsidP="00A445CF"/>
    <w:p w14:paraId="6193AB29" w14:textId="77777777" w:rsidR="00594F91" w:rsidRPr="00594F91" w:rsidRDefault="00594F91" w:rsidP="00594F91">
      <w:pPr>
        <w:pStyle w:val="ListParagraph"/>
        <w:numPr>
          <w:ilvl w:val="0"/>
          <w:numId w:val="30"/>
        </w:numPr>
        <w:rPr>
          <w:i/>
        </w:rPr>
      </w:pPr>
      <w:r w:rsidRPr="00594F91">
        <w:rPr>
          <w:i/>
        </w:rPr>
        <w:t xml:space="preserve">In Figure 5 of </w:t>
      </w:r>
      <w:proofErr w:type="spellStart"/>
      <w:r w:rsidRPr="00594F91">
        <w:rPr>
          <w:i/>
        </w:rPr>
        <w:t>Orski</w:t>
      </w:r>
      <w:proofErr w:type="spellEnd"/>
      <w:r w:rsidRPr="00594F91">
        <w:rPr>
          <w:i/>
        </w:rPr>
        <w:t xml:space="preserve"> et al., and in Figure S19 of the supporting information file, the high molecular weight fractions at high branch lengths of 4, 6 and 10 show a negative deviation from the power-law.  What causes this deviation?  Does it make sense that this deviation would only appear at high molecular weights and for long branches?</w:t>
      </w:r>
    </w:p>
    <w:p w14:paraId="64C3E684" w14:textId="70902E44" w:rsidR="00ED62FD" w:rsidRPr="00594F91" w:rsidRDefault="00ED62FD" w:rsidP="00717CA5">
      <w:pPr>
        <w:rPr>
          <w:i/>
        </w:rPr>
      </w:pPr>
    </w:p>
    <w:p w14:paraId="410DB438" w14:textId="55B4DCA1" w:rsidR="00594F91" w:rsidRPr="006F71DA" w:rsidRDefault="006F71DA">
      <w:r>
        <w:t xml:space="preserve">This is described in the text.  Polyethylene is subject to hydrogen abstraction, which means that hydrogens are removed from the chain leaving free radicals.  Free radicals search out double bonds or other free radicals forming long chain branches.  This is common in polyethylene, even in a melt extruder or pelletizer.  Here, the authors note that they have put in a sizable amount of anti-oxidant which scavengers free radicals (just like vitamin C and other free radical scavengers in our bodies).  </w:t>
      </w:r>
      <w:proofErr w:type="gramStart"/>
      <w:r>
        <w:t>So</w:t>
      </w:r>
      <w:proofErr w:type="gramEnd"/>
      <w:r>
        <w:t xml:space="preserve"> they are surprised to see this increase in density, decrease in </w:t>
      </w:r>
      <w:r>
        <w:t>[</w:t>
      </w:r>
      <w:r w:rsidRPr="00DC4910">
        <w:rPr>
          <w:rFonts w:ascii="Symbol" w:hAnsi="Symbol"/>
          <w:i/>
        </w:rPr>
        <w:t></w:t>
      </w:r>
      <w:r>
        <w:rPr>
          <w:sz w:val="26"/>
        </w:rPr>
        <w:t>]</w:t>
      </w:r>
      <w:r>
        <w:rPr>
          <w:sz w:val="26"/>
        </w:rPr>
        <w:t xml:space="preserve"> at high molecular weights.  The behavior is more prominent in the supplemental Figure S19.</w:t>
      </w:r>
      <w:bookmarkStart w:id="0" w:name="_GoBack"/>
      <w:bookmarkEnd w:id="0"/>
    </w:p>
    <w:sectPr w:rsidR="00594F91" w:rsidRPr="006F71DA" w:rsidSect="007A1B5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D49E" w14:textId="77777777" w:rsidR="009E63D4" w:rsidRDefault="009E63D4" w:rsidP="00377FC4">
      <w:r>
        <w:separator/>
      </w:r>
    </w:p>
  </w:endnote>
  <w:endnote w:type="continuationSeparator" w:id="0">
    <w:p w14:paraId="07CB0F46" w14:textId="77777777" w:rsidR="009E63D4" w:rsidRDefault="009E63D4"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D355F" w14:textId="77777777" w:rsidR="009E63D4" w:rsidRDefault="009E63D4" w:rsidP="00377FC4">
      <w:r>
        <w:separator/>
      </w:r>
    </w:p>
  </w:footnote>
  <w:footnote w:type="continuationSeparator" w:id="0">
    <w:p w14:paraId="71C89862" w14:textId="77777777" w:rsidR="009E63D4" w:rsidRDefault="009E63D4"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7B4"/>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73E5F"/>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652DB"/>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410B"/>
    <w:multiLevelType w:val="hybridMultilevel"/>
    <w:tmpl w:val="4F4ED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B37B1"/>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303A3"/>
    <w:multiLevelType w:val="hybridMultilevel"/>
    <w:tmpl w:val="1ED4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A7775"/>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84AF8"/>
    <w:multiLevelType w:val="hybridMultilevel"/>
    <w:tmpl w:val="4F4ED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6"/>
  </w:num>
  <w:num w:numId="4">
    <w:abstractNumId w:val="6"/>
  </w:num>
  <w:num w:numId="5">
    <w:abstractNumId w:val="9"/>
  </w:num>
  <w:num w:numId="6">
    <w:abstractNumId w:val="23"/>
  </w:num>
  <w:num w:numId="7">
    <w:abstractNumId w:val="15"/>
  </w:num>
  <w:num w:numId="8">
    <w:abstractNumId w:val="4"/>
  </w:num>
  <w:num w:numId="9">
    <w:abstractNumId w:val="11"/>
  </w:num>
  <w:num w:numId="10">
    <w:abstractNumId w:val="18"/>
  </w:num>
  <w:num w:numId="11">
    <w:abstractNumId w:val="27"/>
  </w:num>
  <w:num w:numId="12">
    <w:abstractNumId w:val="28"/>
  </w:num>
  <w:num w:numId="13">
    <w:abstractNumId w:val="26"/>
  </w:num>
  <w:num w:numId="14">
    <w:abstractNumId w:val="21"/>
  </w:num>
  <w:num w:numId="15">
    <w:abstractNumId w:val="10"/>
  </w:num>
  <w:num w:numId="16">
    <w:abstractNumId w:val="22"/>
  </w:num>
  <w:num w:numId="17">
    <w:abstractNumId w:val="13"/>
  </w:num>
  <w:num w:numId="18">
    <w:abstractNumId w:val="14"/>
  </w:num>
  <w:num w:numId="19">
    <w:abstractNumId w:val="2"/>
  </w:num>
  <w:num w:numId="20">
    <w:abstractNumId w:val="1"/>
  </w:num>
  <w:num w:numId="21">
    <w:abstractNumId w:val="3"/>
  </w:num>
  <w:num w:numId="22">
    <w:abstractNumId w:val="5"/>
  </w:num>
  <w:num w:numId="23">
    <w:abstractNumId w:val="20"/>
  </w:num>
  <w:num w:numId="24">
    <w:abstractNumId w:val="17"/>
  </w:num>
  <w:num w:numId="25">
    <w:abstractNumId w:val="7"/>
  </w:num>
  <w:num w:numId="26">
    <w:abstractNumId w:val="8"/>
  </w:num>
  <w:num w:numId="27">
    <w:abstractNumId w:val="0"/>
  </w:num>
  <w:num w:numId="28">
    <w:abstractNumId w:val="19"/>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5DAA"/>
    <w:rsid w:val="00006BA2"/>
    <w:rsid w:val="00030795"/>
    <w:rsid w:val="0003336C"/>
    <w:rsid w:val="00033E38"/>
    <w:rsid w:val="00037342"/>
    <w:rsid w:val="00044343"/>
    <w:rsid w:val="0004444C"/>
    <w:rsid w:val="00062BCA"/>
    <w:rsid w:val="00067623"/>
    <w:rsid w:val="00067FB9"/>
    <w:rsid w:val="00072ABC"/>
    <w:rsid w:val="00072F7D"/>
    <w:rsid w:val="0007722C"/>
    <w:rsid w:val="000809A6"/>
    <w:rsid w:val="0008132D"/>
    <w:rsid w:val="00090A6A"/>
    <w:rsid w:val="000917B3"/>
    <w:rsid w:val="000A0C52"/>
    <w:rsid w:val="000A2E7F"/>
    <w:rsid w:val="000A60E3"/>
    <w:rsid w:val="000B3A15"/>
    <w:rsid w:val="000B5A57"/>
    <w:rsid w:val="000C15ED"/>
    <w:rsid w:val="000C3D8A"/>
    <w:rsid w:val="000D1259"/>
    <w:rsid w:val="000D6EDA"/>
    <w:rsid w:val="000E3517"/>
    <w:rsid w:val="000E633F"/>
    <w:rsid w:val="000F5AF7"/>
    <w:rsid w:val="000F6DBB"/>
    <w:rsid w:val="00102726"/>
    <w:rsid w:val="00113937"/>
    <w:rsid w:val="00120F82"/>
    <w:rsid w:val="001215B7"/>
    <w:rsid w:val="00124AE8"/>
    <w:rsid w:val="00126BA2"/>
    <w:rsid w:val="00127C22"/>
    <w:rsid w:val="00136251"/>
    <w:rsid w:val="001543C5"/>
    <w:rsid w:val="001545CE"/>
    <w:rsid w:val="00192CB6"/>
    <w:rsid w:val="0019784B"/>
    <w:rsid w:val="001A1AFC"/>
    <w:rsid w:val="001B138B"/>
    <w:rsid w:val="001B679B"/>
    <w:rsid w:val="001C355E"/>
    <w:rsid w:val="001C4D5F"/>
    <w:rsid w:val="001C68D2"/>
    <w:rsid w:val="001D4DA8"/>
    <w:rsid w:val="001D4F07"/>
    <w:rsid w:val="001D5F2E"/>
    <w:rsid w:val="001F5982"/>
    <w:rsid w:val="001F7FFD"/>
    <w:rsid w:val="0020113F"/>
    <w:rsid w:val="002250CB"/>
    <w:rsid w:val="00226C91"/>
    <w:rsid w:val="00244CD2"/>
    <w:rsid w:val="00251195"/>
    <w:rsid w:val="002611FB"/>
    <w:rsid w:val="00261642"/>
    <w:rsid w:val="00272292"/>
    <w:rsid w:val="0028489B"/>
    <w:rsid w:val="00285169"/>
    <w:rsid w:val="002A13F3"/>
    <w:rsid w:val="002C543C"/>
    <w:rsid w:val="002C547B"/>
    <w:rsid w:val="002D2974"/>
    <w:rsid w:val="002D2B9A"/>
    <w:rsid w:val="002D79EA"/>
    <w:rsid w:val="002E5186"/>
    <w:rsid w:val="002E68BA"/>
    <w:rsid w:val="002F1CB6"/>
    <w:rsid w:val="00313949"/>
    <w:rsid w:val="00324FAE"/>
    <w:rsid w:val="00336463"/>
    <w:rsid w:val="00352ADC"/>
    <w:rsid w:val="00353819"/>
    <w:rsid w:val="0035597D"/>
    <w:rsid w:val="00377FC4"/>
    <w:rsid w:val="00380742"/>
    <w:rsid w:val="003844C1"/>
    <w:rsid w:val="00394392"/>
    <w:rsid w:val="003A0171"/>
    <w:rsid w:val="003C613B"/>
    <w:rsid w:val="003D1050"/>
    <w:rsid w:val="003E2A68"/>
    <w:rsid w:val="003E2DBB"/>
    <w:rsid w:val="003E3B5B"/>
    <w:rsid w:val="003F60A5"/>
    <w:rsid w:val="004146B8"/>
    <w:rsid w:val="00414A5E"/>
    <w:rsid w:val="00415632"/>
    <w:rsid w:val="00420D01"/>
    <w:rsid w:val="00436E5B"/>
    <w:rsid w:val="0045697B"/>
    <w:rsid w:val="004643D5"/>
    <w:rsid w:val="004756C2"/>
    <w:rsid w:val="0048199E"/>
    <w:rsid w:val="00482A36"/>
    <w:rsid w:val="004921AC"/>
    <w:rsid w:val="004956DD"/>
    <w:rsid w:val="00497264"/>
    <w:rsid w:val="004A788D"/>
    <w:rsid w:val="004B02EF"/>
    <w:rsid w:val="004B1170"/>
    <w:rsid w:val="004C7BD3"/>
    <w:rsid w:val="004D6443"/>
    <w:rsid w:val="004F0A13"/>
    <w:rsid w:val="004F1C0F"/>
    <w:rsid w:val="005077EB"/>
    <w:rsid w:val="0051711A"/>
    <w:rsid w:val="005226BF"/>
    <w:rsid w:val="0052316B"/>
    <w:rsid w:val="005308DB"/>
    <w:rsid w:val="00530EFA"/>
    <w:rsid w:val="00531B07"/>
    <w:rsid w:val="005331B0"/>
    <w:rsid w:val="00533409"/>
    <w:rsid w:val="00567CE5"/>
    <w:rsid w:val="00575F15"/>
    <w:rsid w:val="0057693E"/>
    <w:rsid w:val="00576E27"/>
    <w:rsid w:val="00587F46"/>
    <w:rsid w:val="00594BF8"/>
    <w:rsid w:val="00594F91"/>
    <w:rsid w:val="005B7CFA"/>
    <w:rsid w:val="005C6B9F"/>
    <w:rsid w:val="005D78A9"/>
    <w:rsid w:val="005E28CB"/>
    <w:rsid w:val="005E43EB"/>
    <w:rsid w:val="005E6118"/>
    <w:rsid w:val="005E7CB2"/>
    <w:rsid w:val="005F1DF0"/>
    <w:rsid w:val="005F2BF6"/>
    <w:rsid w:val="005F6B05"/>
    <w:rsid w:val="005F6F6A"/>
    <w:rsid w:val="00603DA4"/>
    <w:rsid w:val="00623088"/>
    <w:rsid w:val="0063398F"/>
    <w:rsid w:val="006435DC"/>
    <w:rsid w:val="00644EA8"/>
    <w:rsid w:val="0064694C"/>
    <w:rsid w:val="00650BF8"/>
    <w:rsid w:val="006669D5"/>
    <w:rsid w:val="00667461"/>
    <w:rsid w:val="006742D1"/>
    <w:rsid w:val="00675118"/>
    <w:rsid w:val="0068668D"/>
    <w:rsid w:val="00696C74"/>
    <w:rsid w:val="006A5EC8"/>
    <w:rsid w:val="006B0859"/>
    <w:rsid w:val="006B14E1"/>
    <w:rsid w:val="006B272A"/>
    <w:rsid w:val="006B3BEC"/>
    <w:rsid w:val="006B678F"/>
    <w:rsid w:val="006C3D14"/>
    <w:rsid w:val="006D2C66"/>
    <w:rsid w:val="006D5A15"/>
    <w:rsid w:val="006E3837"/>
    <w:rsid w:val="006E5FB2"/>
    <w:rsid w:val="006E7D80"/>
    <w:rsid w:val="006F0F81"/>
    <w:rsid w:val="006F71DA"/>
    <w:rsid w:val="00717CA5"/>
    <w:rsid w:val="0072407B"/>
    <w:rsid w:val="007307AC"/>
    <w:rsid w:val="00733724"/>
    <w:rsid w:val="00733DFF"/>
    <w:rsid w:val="007550CB"/>
    <w:rsid w:val="0075756B"/>
    <w:rsid w:val="00765A86"/>
    <w:rsid w:val="00773F24"/>
    <w:rsid w:val="007744CB"/>
    <w:rsid w:val="00775AA9"/>
    <w:rsid w:val="00785038"/>
    <w:rsid w:val="00787040"/>
    <w:rsid w:val="00790521"/>
    <w:rsid w:val="00792926"/>
    <w:rsid w:val="007A030C"/>
    <w:rsid w:val="007A1B50"/>
    <w:rsid w:val="007B370E"/>
    <w:rsid w:val="007C3F3B"/>
    <w:rsid w:val="007D67F1"/>
    <w:rsid w:val="007E3207"/>
    <w:rsid w:val="007E4452"/>
    <w:rsid w:val="007E77C7"/>
    <w:rsid w:val="00801ECD"/>
    <w:rsid w:val="00810530"/>
    <w:rsid w:val="00822E8D"/>
    <w:rsid w:val="00832075"/>
    <w:rsid w:val="00844A8E"/>
    <w:rsid w:val="0084535F"/>
    <w:rsid w:val="00853C95"/>
    <w:rsid w:val="00853E10"/>
    <w:rsid w:val="008629AE"/>
    <w:rsid w:val="008647CE"/>
    <w:rsid w:val="008665BC"/>
    <w:rsid w:val="00880414"/>
    <w:rsid w:val="00880652"/>
    <w:rsid w:val="00887F20"/>
    <w:rsid w:val="008947E5"/>
    <w:rsid w:val="008A6C81"/>
    <w:rsid w:val="008A75C5"/>
    <w:rsid w:val="008B2F88"/>
    <w:rsid w:val="008B38D5"/>
    <w:rsid w:val="008B4550"/>
    <w:rsid w:val="008C0423"/>
    <w:rsid w:val="008C25FE"/>
    <w:rsid w:val="008C4E55"/>
    <w:rsid w:val="008D1BA1"/>
    <w:rsid w:val="008D1CA7"/>
    <w:rsid w:val="008D1DED"/>
    <w:rsid w:val="008D322E"/>
    <w:rsid w:val="008F3D4C"/>
    <w:rsid w:val="00905E06"/>
    <w:rsid w:val="00911B0B"/>
    <w:rsid w:val="00916C35"/>
    <w:rsid w:val="00934EB5"/>
    <w:rsid w:val="0093632C"/>
    <w:rsid w:val="00941F25"/>
    <w:rsid w:val="009542D9"/>
    <w:rsid w:val="00955D0B"/>
    <w:rsid w:val="009660D9"/>
    <w:rsid w:val="00966919"/>
    <w:rsid w:val="0098058E"/>
    <w:rsid w:val="00987C5E"/>
    <w:rsid w:val="00995E7B"/>
    <w:rsid w:val="00996166"/>
    <w:rsid w:val="009A62CB"/>
    <w:rsid w:val="009A6B73"/>
    <w:rsid w:val="009B5A76"/>
    <w:rsid w:val="009B6ECB"/>
    <w:rsid w:val="009D35ED"/>
    <w:rsid w:val="009E02EB"/>
    <w:rsid w:val="009E63D4"/>
    <w:rsid w:val="009F0FF8"/>
    <w:rsid w:val="009F375C"/>
    <w:rsid w:val="00A046A2"/>
    <w:rsid w:val="00A0787C"/>
    <w:rsid w:val="00A12641"/>
    <w:rsid w:val="00A13A5E"/>
    <w:rsid w:val="00A22105"/>
    <w:rsid w:val="00A27F33"/>
    <w:rsid w:val="00A3346B"/>
    <w:rsid w:val="00A445CF"/>
    <w:rsid w:val="00A47A47"/>
    <w:rsid w:val="00A52C0D"/>
    <w:rsid w:val="00A53A76"/>
    <w:rsid w:val="00A53E34"/>
    <w:rsid w:val="00A549F2"/>
    <w:rsid w:val="00A6045D"/>
    <w:rsid w:val="00A7224F"/>
    <w:rsid w:val="00A76A8C"/>
    <w:rsid w:val="00A81F07"/>
    <w:rsid w:val="00A84F74"/>
    <w:rsid w:val="00AA1F4F"/>
    <w:rsid w:val="00AA63B2"/>
    <w:rsid w:val="00AA6CD0"/>
    <w:rsid w:val="00AD1F06"/>
    <w:rsid w:val="00AD65F6"/>
    <w:rsid w:val="00AF5835"/>
    <w:rsid w:val="00AF6253"/>
    <w:rsid w:val="00B07C44"/>
    <w:rsid w:val="00B11097"/>
    <w:rsid w:val="00B137FE"/>
    <w:rsid w:val="00B169F8"/>
    <w:rsid w:val="00B208B7"/>
    <w:rsid w:val="00B21D03"/>
    <w:rsid w:val="00B233FD"/>
    <w:rsid w:val="00B3291C"/>
    <w:rsid w:val="00B35BEA"/>
    <w:rsid w:val="00B431B2"/>
    <w:rsid w:val="00B46BA2"/>
    <w:rsid w:val="00B47949"/>
    <w:rsid w:val="00B47D2B"/>
    <w:rsid w:val="00B605ED"/>
    <w:rsid w:val="00B67DBF"/>
    <w:rsid w:val="00B71EE9"/>
    <w:rsid w:val="00B727CC"/>
    <w:rsid w:val="00B73326"/>
    <w:rsid w:val="00B7578E"/>
    <w:rsid w:val="00B774D5"/>
    <w:rsid w:val="00B86EF5"/>
    <w:rsid w:val="00B93B86"/>
    <w:rsid w:val="00B96EA6"/>
    <w:rsid w:val="00BA005F"/>
    <w:rsid w:val="00BA2C92"/>
    <w:rsid w:val="00BB1C83"/>
    <w:rsid w:val="00BB63F1"/>
    <w:rsid w:val="00BC37BC"/>
    <w:rsid w:val="00BC4CA3"/>
    <w:rsid w:val="00BC6FA1"/>
    <w:rsid w:val="00BD6964"/>
    <w:rsid w:val="00BD79C2"/>
    <w:rsid w:val="00BE17E4"/>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97EC1"/>
    <w:rsid w:val="00CA3395"/>
    <w:rsid w:val="00CA70BB"/>
    <w:rsid w:val="00CC034D"/>
    <w:rsid w:val="00CC2195"/>
    <w:rsid w:val="00CC344C"/>
    <w:rsid w:val="00CC3C88"/>
    <w:rsid w:val="00CC5F0C"/>
    <w:rsid w:val="00CE3E12"/>
    <w:rsid w:val="00D00DC9"/>
    <w:rsid w:val="00D01058"/>
    <w:rsid w:val="00D063EF"/>
    <w:rsid w:val="00D22855"/>
    <w:rsid w:val="00D234C5"/>
    <w:rsid w:val="00D234CF"/>
    <w:rsid w:val="00D248CE"/>
    <w:rsid w:val="00D46AAF"/>
    <w:rsid w:val="00D50ED9"/>
    <w:rsid w:val="00D51760"/>
    <w:rsid w:val="00D51773"/>
    <w:rsid w:val="00D5219E"/>
    <w:rsid w:val="00D63568"/>
    <w:rsid w:val="00D63874"/>
    <w:rsid w:val="00D77FB4"/>
    <w:rsid w:val="00D83E05"/>
    <w:rsid w:val="00D9425D"/>
    <w:rsid w:val="00DA0AF0"/>
    <w:rsid w:val="00DA3770"/>
    <w:rsid w:val="00DA4520"/>
    <w:rsid w:val="00DA648E"/>
    <w:rsid w:val="00DA6A5B"/>
    <w:rsid w:val="00DB4496"/>
    <w:rsid w:val="00DB71E1"/>
    <w:rsid w:val="00DC4910"/>
    <w:rsid w:val="00DC49AB"/>
    <w:rsid w:val="00DC57F8"/>
    <w:rsid w:val="00DD5D31"/>
    <w:rsid w:val="00DD5DFF"/>
    <w:rsid w:val="00DF1C04"/>
    <w:rsid w:val="00DF7072"/>
    <w:rsid w:val="00DF7D68"/>
    <w:rsid w:val="00E04039"/>
    <w:rsid w:val="00E21730"/>
    <w:rsid w:val="00E30ECA"/>
    <w:rsid w:val="00E34000"/>
    <w:rsid w:val="00E40EF5"/>
    <w:rsid w:val="00E4563D"/>
    <w:rsid w:val="00E507F5"/>
    <w:rsid w:val="00E5190B"/>
    <w:rsid w:val="00E57986"/>
    <w:rsid w:val="00E65EDA"/>
    <w:rsid w:val="00E740A7"/>
    <w:rsid w:val="00E8149C"/>
    <w:rsid w:val="00E844F3"/>
    <w:rsid w:val="00E939F2"/>
    <w:rsid w:val="00EA3D98"/>
    <w:rsid w:val="00EA71E4"/>
    <w:rsid w:val="00EB14B5"/>
    <w:rsid w:val="00EB59C1"/>
    <w:rsid w:val="00EB680B"/>
    <w:rsid w:val="00EC6584"/>
    <w:rsid w:val="00EC6758"/>
    <w:rsid w:val="00ED029E"/>
    <w:rsid w:val="00ED62FD"/>
    <w:rsid w:val="00ED7819"/>
    <w:rsid w:val="00EF129A"/>
    <w:rsid w:val="00EF5A3F"/>
    <w:rsid w:val="00EF6B9B"/>
    <w:rsid w:val="00F15340"/>
    <w:rsid w:val="00F15501"/>
    <w:rsid w:val="00F212AB"/>
    <w:rsid w:val="00F23EA8"/>
    <w:rsid w:val="00F2730C"/>
    <w:rsid w:val="00F413DC"/>
    <w:rsid w:val="00F41C88"/>
    <w:rsid w:val="00F41ED7"/>
    <w:rsid w:val="00F4400E"/>
    <w:rsid w:val="00F50DFC"/>
    <w:rsid w:val="00F53CAA"/>
    <w:rsid w:val="00F55730"/>
    <w:rsid w:val="00F5615B"/>
    <w:rsid w:val="00F5638D"/>
    <w:rsid w:val="00F5653E"/>
    <w:rsid w:val="00F571A1"/>
    <w:rsid w:val="00F66F9B"/>
    <w:rsid w:val="00F86670"/>
    <w:rsid w:val="00F91932"/>
    <w:rsid w:val="00F93F34"/>
    <w:rsid w:val="00FA1DBB"/>
    <w:rsid w:val="00FA707B"/>
    <w:rsid w:val="00FA7DE7"/>
    <w:rsid w:val="00FC236C"/>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7E4452"/>
    <w:rPr>
      <w:color w:val="0563C1" w:themeColor="hyperlink"/>
      <w:u w:val="single"/>
    </w:rPr>
  </w:style>
  <w:style w:type="character" w:styleId="UnresolvedMention">
    <w:name w:val="Unresolved Mention"/>
    <w:basedOn w:val="DefaultParagraphFont"/>
    <w:uiPriority w:val="99"/>
    <w:semiHidden/>
    <w:unhideWhenUsed/>
    <w:rsid w:val="007E4452"/>
    <w:rPr>
      <w:color w:val="605E5C"/>
      <w:shd w:val="clear" w:color="auto" w:fill="E1DFDD"/>
    </w:rPr>
  </w:style>
  <w:style w:type="table" w:styleId="TableGrid">
    <w:name w:val="Table Grid"/>
    <w:basedOn w:val="TableNormal"/>
    <w:uiPriority w:val="39"/>
    <w:rsid w:val="00DD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540">
      <w:bodyDiv w:val="1"/>
      <w:marLeft w:val="0"/>
      <w:marRight w:val="0"/>
      <w:marTop w:val="0"/>
      <w:marBottom w:val="0"/>
      <w:divBdr>
        <w:top w:val="none" w:sz="0" w:space="0" w:color="auto"/>
        <w:left w:val="none" w:sz="0" w:space="0" w:color="auto"/>
        <w:bottom w:val="none" w:sz="0" w:space="0" w:color="auto"/>
        <w:right w:val="none" w:sz="0" w:space="0" w:color="auto"/>
      </w:divBdr>
      <w:divsChild>
        <w:div w:id="55931333">
          <w:marLeft w:val="0"/>
          <w:marRight w:val="0"/>
          <w:marTop w:val="0"/>
          <w:marBottom w:val="0"/>
          <w:divBdr>
            <w:top w:val="none" w:sz="0" w:space="0" w:color="auto"/>
            <w:left w:val="none" w:sz="0" w:space="0" w:color="auto"/>
            <w:bottom w:val="none" w:sz="0" w:space="0" w:color="auto"/>
            <w:right w:val="none" w:sz="0" w:space="0" w:color="auto"/>
          </w:divBdr>
        </w:div>
        <w:div w:id="1050150650">
          <w:marLeft w:val="0"/>
          <w:marRight w:val="0"/>
          <w:marTop w:val="0"/>
          <w:marBottom w:val="0"/>
          <w:divBdr>
            <w:top w:val="none" w:sz="0" w:space="0" w:color="auto"/>
            <w:left w:val="none" w:sz="0" w:space="0" w:color="auto"/>
            <w:bottom w:val="none" w:sz="0" w:space="0" w:color="auto"/>
            <w:right w:val="none" w:sz="0" w:space="0" w:color="auto"/>
          </w:divBdr>
        </w:div>
        <w:div w:id="763258062">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2115317370">
          <w:marLeft w:val="0"/>
          <w:marRight w:val="0"/>
          <w:marTop w:val="0"/>
          <w:marBottom w:val="0"/>
          <w:divBdr>
            <w:top w:val="none" w:sz="0" w:space="0" w:color="auto"/>
            <w:left w:val="none" w:sz="0" w:space="0" w:color="auto"/>
            <w:bottom w:val="none" w:sz="0" w:space="0" w:color="auto"/>
            <w:right w:val="none" w:sz="0" w:space="0" w:color="auto"/>
          </w:divBdr>
        </w:div>
        <w:div w:id="406879348">
          <w:marLeft w:val="0"/>
          <w:marRight w:val="0"/>
          <w:marTop w:val="0"/>
          <w:marBottom w:val="0"/>
          <w:divBdr>
            <w:top w:val="none" w:sz="0" w:space="0" w:color="auto"/>
            <w:left w:val="none" w:sz="0" w:space="0" w:color="auto"/>
            <w:bottom w:val="none" w:sz="0" w:space="0" w:color="auto"/>
            <w:right w:val="none" w:sz="0" w:space="0" w:color="auto"/>
          </w:divBdr>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16</cp:revision>
  <cp:lastPrinted>2021-04-02T12:55:00Z</cp:lastPrinted>
  <dcterms:created xsi:type="dcterms:W3CDTF">2021-04-02T02:55:00Z</dcterms:created>
  <dcterms:modified xsi:type="dcterms:W3CDTF">2021-04-04T00:46:00Z</dcterms:modified>
</cp:coreProperties>
</file>